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R</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October 31, 2014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277,907,550</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92,944,570</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September 30, 2014 and December 31,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 Condensed Consolidated Statements of Earnings for the three-month and nine-month periods ended September 30, 2014 and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Statements of Comprehensive Earnings for the three-month and nine-month periods ended September 30,</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2014 and 2013</w:t>
              </w:r>
            </w:hyperlink>
          </w:p>
        </w:tc>
        <w:tc>
          <w:tcPr>
            <w:tcW w:w="8580" w:type="dxa"/>
            <w:vAlign w:val="bottom"/>
            <w:tcBorders>
              <w:top w:val="single" w:sz="8" w:color="0000EE"/>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7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D. Condensed Consolidated Statement of Equity for the nine-month period ended September 30, 2014</w:t>
              </w:r>
            </w:hyperlink>
          </w:p>
        </w:tc>
        <w:tc>
          <w:tcPr>
            <w:tcW w:w="23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 Condensed Consolidated Statements of Cash Flows for the nine-month periods ended September 30, 2014 and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F. Notes to Condensed Consolidated Financial Statements</w:t>
              </w:r>
            </w:hyperlink>
          </w:p>
        </w:tc>
        <w:tc>
          <w:tcPr>
            <w:tcW w:w="4380" w:type="dxa"/>
            <w:vAlign w:val="bottom"/>
            <w:tcBorders>
              <w:top w:val="single" w:sz="8" w:color="0000EE"/>
            </w:tcBorders>
            <w:gridSpan w:val="5"/>
          </w:tcPr>
          <w:p>
            <w:pPr>
              <w:spacing w:after="0"/>
              <w:rPr>
                <w:sz w:val="21"/>
                <w:szCs w:val="21"/>
                <w:color w:val="auto"/>
              </w:rPr>
            </w:pPr>
          </w:p>
        </w:tc>
        <w:tc>
          <w:tcPr>
            <w:tcW w:w="11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Item 3. Quantitative and Qualitative Disclosure About Market Risk</w:t>
              </w:r>
            </w:hyperlink>
          </w:p>
        </w:tc>
        <w:tc>
          <w:tcPr>
            <w:tcW w:w="2160" w:type="dxa"/>
            <w:vAlign w:val="bottom"/>
            <w:gridSpan w:val="2"/>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56">
              <w:r>
                <w:rPr>
                  <w:rFonts w:ascii="Arial" w:cs="Arial" w:eastAsia="Arial" w:hAnsi="Arial"/>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1"/>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1"/>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1"/>
              <w:spacing w:after="0"/>
              <w:rPr>
                <w:sz w:val="20"/>
                <w:szCs w:val="20"/>
                <w:color w:val="auto"/>
              </w:rPr>
            </w:pPr>
            <w:r>
              <w:rPr>
                <w:rFonts w:ascii="Arial" w:cs="Arial" w:eastAsia="Arial" w:hAnsi="Arial"/>
                <w:sz w:val="14"/>
                <w:szCs w:val="14"/>
                <w:color w:val="auto"/>
                <w:w w:val="94"/>
              </w:rPr>
              <w:t>(Dollars in millions, except share data)</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1"/>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6"/>
              </w:rPr>
              <w:t>Fixed maturity securities available for sale, at fair value, at September 30, 2014 and December 31, 2013 includes pledged fixed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maturity securities of $351 and $261, respectively, related to secured trust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1"/>
              </w:rPr>
              <w:t>Cash and cash equivalents, at September 30, 2014 and December 31, 2013 includes $385 and $339, respectively, of pledged cash related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to secured trust deposits</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$21, at September 30, 2014 and December 31, 2013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4,957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vMerge w:val="restart"/>
          </w:tcPr>
          <w:p>
            <w:pPr>
              <w:jc w:val="center"/>
              <w:ind w:left="981"/>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 at December 31, 2013 includes accounts payable to related parties of $3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7,734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gridSpan w:val="2"/>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6"/>
              </w:rPr>
              <w:t>Redeemable non-controlling interest by 33% minority holder of Black Knight Financial Services, LLC and 35% minority holder of</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ServiceLink Holdings, LLC</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8"/>
              </w:rPr>
              <w:t>FNF Class A common stock, $0.0001 par value: authorized 600,000,000 as of December 31, 2013; issued 292,289,166 as of</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December 31, 2013</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3"/>
              </w:rPr>
              <w:t>FNF Group common stock, $0.0001 par value; authorized 487,000,000 shares as of September 30, 2014; issued 277,876,023 as of</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September 30, 2014</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3"/>
              </w:rPr>
              <w:t>FNFV Group common stock, $0.0001 par value; authorized 113,000,000 shares as of September 30, 2014; issued 92,946,545 as of</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September 30, 2014</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4,822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4,642</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treasury stock, 5,925 shares as of September 30, 2014 and 41,948,518 shares as of December 31, 2013, at cost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5,984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5,061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6,343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5,535</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08" w:right="239" w:bottom="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right"/>
        <w:ind w:right="312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millions)</w:t>
      </w:r>
    </w:p>
    <w:p>
      <w:pPr>
        <w:sectPr>
          <w:pgSz w:w="11900" w:h="16838" w:orient="portrait"/>
          <w:cols w:equalWidth="0" w:num="1">
            <w:col w:w="11420"/>
          </w:cols>
          <w:pgMar w:left="240" w:top="121" w:right="239" w:bottom="1440" w:gutter="0" w:footer="0" w:header="0"/>
        </w:sectPr>
      </w:pPr>
    </w:p>
    <w:p>
      <w:pPr>
        <w:spacing w:after="0" w:line="168"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7" w:lineRule="exact"/>
        <w:rPr>
          <w:sz w:val="20"/>
          <w:szCs w:val="20"/>
          <w:color w:val="auto"/>
        </w:rPr>
      </w:pPr>
    </w:p>
    <w:p>
      <w:pPr>
        <w:ind w:left="8160"/>
        <w:spacing w:after="0"/>
        <w:tabs>
          <w:tab w:leader="none" w:pos="90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1063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31115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(Unaudited)</w:t>
      </w:r>
    </w:p>
    <w:p>
      <w:pPr>
        <w:spacing w:after="0" w:line="68" w:lineRule="exact"/>
        <w:rPr>
          <w:sz w:val="20"/>
          <w:szCs w:val="20"/>
          <w:color w:val="auto"/>
        </w:rPr>
      </w:pPr>
    </w:p>
    <w:p>
      <w:pPr>
        <w:sectPr>
          <w:pgSz w:w="11900" w:h="16838" w:orient="portrait"/>
          <w:cols w:equalWidth="0" w:num="2">
            <w:col w:w="9420" w:space="580"/>
            <w:col w:w="14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Escrow, title related and other fees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Auto parts revenue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Agent commissions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2"/>
              </w:rPr>
              <w:t>Cost of auto parts revenue, includes $19 of depreciation and amortization for the three months ended September 30,</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w w:val="91"/>
              </w:rPr>
              <w:t>2014 and 2013, respectively, and $51 and $55 for the nine months ended September 30, 2014 and 2013, respectively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5,972</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losses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losses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Old FNF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 attributable to Old FNF common shareholders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Old FNF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109"/>
        </w:trPr>
        <w:tc>
          <w:tcPr>
            <w:tcW w:w="7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79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900" w:type="dxa"/>
            <w:vAlign w:val="bottom"/>
          </w:tcPr>
          <w:p>
            <w:pPr>
              <w:ind w:left="40"/>
              <w:spacing w:after="0"/>
              <w:rPr>
                <w:sz w:val="20"/>
                <w:szCs w:val="20"/>
                <w:color w:val="auto"/>
              </w:rPr>
            </w:pPr>
            <w:r>
              <w:rPr>
                <w:rFonts w:ascii="Arial" w:cs="Arial" w:eastAsia="Arial" w:hAnsi="Arial"/>
                <w:sz w:val="16"/>
                <w:szCs w:val="16"/>
                <w:color w:val="auto"/>
              </w:rPr>
              <w:t>Net loss attributable to FNFV Group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EARNINGS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 except per share data)</w:t>
      </w:r>
    </w:p>
    <w:p>
      <w:pPr>
        <w:sectPr>
          <w:pgSz w:w="11900" w:h="16838" w:orient="portrait"/>
          <w:cols w:equalWidth="0" w:num="1">
            <w:col w:w="11420"/>
          </w:cols>
          <w:pgMar w:left="240" w:top="121" w:right="239" w:bottom="1440" w:gutter="0" w:footer="0" w:header="0"/>
        </w:sectPr>
      </w:pPr>
    </w:p>
    <w:p>
      <w:pPr>
        <w:spacing w:after="0" w:line="144"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7" w:lineRule="exact"/>
        <w:rPr>
          <w:sz w:val="20"/>
          <w:szCs w:val="20"/>
          <w:color w:val="auto"/>
        </w:rPr>
      </w:pPr>
    </w:p>
    <w:p>
      <w:pPr>
        <w:ind w:left="8160"/>
        <w:spacing w:after="0"/>
        <w:tabs>
          <w:tab w:leader="none" w:pos="90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1063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31115</wp:posOffset>
            </wp:positionV>
            <wp:extent cx="1063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(Unaudited)</w:t>
      </w:r>
    </w:p>
    <w:p>
      <w:pPr>
        <w:spacing w:after="0" w:line="64" w:lineRule="exact"/>
        <w:rPr>
          <w:sz w:val="20"/>
          <w:szCs w:val="20"/>
          <w:color w:val="auto"/>
        </w:rPr>
      </w:pPr>
    </w:p>
    <w:p>
      <w:pPr>
        <w:sectPr>
          <w:pgSz w:w="11900" w:h="16838" w:orient="portrait"/>
          <w:cols w:equalWidth="0" w:num="2">
            <w:col w:w="9420" w:space="580"/>
            <w:col w:w="14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Earnings per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 per share from discontinued operations attributable to Old FNF common shareholders</w:t>
            </w:r>
          </w:p>
        </w:tc>
        <w:tc>
          <w:tcPr>
            <w:tcW w:w="2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 attributable to FNFV Group common shareholders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 from discontinued operations attributable to Old FNF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ind w:left="40"/>
              <w:spacing w:after="0"/>
              <w:rPr>
                <w:sz w:val="20"/>
                <w:szCs w:val="20"/>
                <w:color w:val="auto"/>
              </w:rPr>
            </w:pPr>
            <w:r>
              <w:rPr>
                <w:rFonts w:ascii="Arial" w:cs="Arial" w:eastAsia="Arial" w:hAnsi="Arial"/>
                <w:sz w:val="16"/>
                <w:szCs w:val="16"/>
                <w:color w:val="auto"/>
              </w:rPr>
              <w:t>Net loss per share attributable to FNFV Group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9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ind w:left="40"/>
              <w:spacing w:after="0"/>
              <w:rPr>
                <w:sz w:val="20"/>
                <w:szCs w:val="20"/>
                <w:color w:val="auto"/>
              </w:rPr>
            </w:pPr>
            <w:r>
              <w:rPr>
                <w:rFonts w:ascii="Arial" w:cs="Arial" w:eastAsia="Arial" w:hAnsi="Arial"/>
                <w:sz w:val="16"/>
                <w:szCs w:val="16"/>
                <w:color w:val="auto"/>
              </w:rPr>
              <w:t>Cash dividends paid per share Old FNF common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176"/>
        </w:trPr>
        <w:tc>
          <w:tcPr>
            <w:tcW w:w="79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ind w:left="40"/>
              <w:spacing w:after="0"/>
              <w:rPr>
                <w:sz w:val="20"/>
                <w:szCs w:val="20"/>
                <w:color w:val="auto"/>
              </w:rPr>
            </w:pPr>
            <w:r>
              <w:rPr>
                <w:rFonts w:ascii="Arial" w:cs="Arial" w:eastAsia="Arial" w:hAnsi="Arial"/>
                <w:sz w:val="16"/>
                <w:szCs w:val="16"/>
                <w:color w:val="auto"/>
              </w:rPr>
              <w:t>Cash dividends paid per share FNF Group common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9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40"/>
              <w:spacing w:after="0"/>
              <w:rPr>
                <w:sz w:val="20"/>
                <w:szCs w:val="20"/>
                <w:color w:val="auto"/>
              </w:rPr>
            </w:pPr>
            <w:r>
              <w:rPr>
                <w:rFonts w:ascii="Arial" w:cs="Arial" w:eastAsia="Arial" w:hAnsi="Arial"/>
                <w:sz w:val="14"/>
                <w:szCs w:val="14"/>
                <w:b w:val="1"/>
                <w:bCs w:val="1"/>
                <w:color w:val="auto"/>
                <w:w w:val="90"/>
              </w:rPr>
              <w:t>Nine months ended September</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1"/>
              </w:rPr>
              <w:t>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5"/>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(loss) gain on investments and other financial instruments, net (excluding investments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Unrealized loss on investments in unconsolidated affiliates (2)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foreign currency translation and cash flow hedging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change in unrealized gains and losses included in net earnings (4)</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 (5)</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 earnings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(loss) earnings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Comprehensive earnings attributable to Fidelity National Financial, Inc. common shareholders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Old FNF common shareholders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FNFV Group common shareholders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$(7) million and $1 million for the three-month periods ended September 30, 2014 and 2013, respectively, and $5 million and $(13) million for the nine-month periods ended September 30, 2014 and 2013,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$4 million and $4 million for the three-month periods ended September 30, 2014 and 2013, respectively, and $5 million and $11 million for the nine-month periods ended September 30, 2014 and 2013,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$(5) million and $4 million for the three-month periods ended September 30, 2014 and 2013, respectively, and $(3) million and $(2) million for the nine-month periods ended September 30, 2014 and 2013,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 million for both the three-month periods ended September 30, 2014 and 2013, and $(3) million for the nine-month period ended September 30, 2013.</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the nine-month period ended September 30,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13"/>
          </w:tcPr>
          <w:p>
            <w:pPr>
              <w:ind w:left="320"/>
              <w:spacing w:after="0"/>
              <w:rPr>
                <w:sz w:val="20"/>
                <w:szCs w:val="20"/>
                <w:color w:val="auto"/>
              </w:rPr>
            </w:pPr>
            <w:r>
              <w:rPr>
                <w:rFonts w:ascii="Arial" w:cs="Arial" w:eastAsia="Arial" w:hAnsi="Arial"/>
                <w:sz w:val="14"/>
                <w:szCs w:val="14"/>
                <w:b w:val="1"/>
                <w:bCs w:val="1"/>
                <w:color w:val="auto"/>
                <w:w w:val="99"/>
              </w:rPr>
              <w:t>Fidelity National Financial, Inc. Common Shareholders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68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FNF</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rPr>
              <w:t>FNF</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4"/>
          </w:tcPr>
          <w:p>
            <w:pPr>
              <w:ind w:left="320"/>
              <w:spacing w:after="0"/>
              <w:rPr>
                <w:sz w:val="20"/>
                <w:szCs w:val="20"/>
                <w:color w:val="auto"/>
              </w:rPr>
            </w:pPr>
            <w:r>
              <w:rPr>
                <w:rFonts w:ascii="Arial" w:cs="Arial" w:eastAsia="Arial" w:hAnsi="Arial"/>
                <w:sz w:val="14"/>
                <w:szCs w:val="14"/>
                <w:b w:val="1"/>
                <w:bCs w:val="1"/>
                <w:color w:val="auto"/>
              </w:rPr>
              <w:t>FNFV</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Class A</w:t>
            </w: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9"/>
              </w:rPr>
              <w:t>Group</w:t>
            </w:r>
          </w:p>
        </w:tc>
        <w:tc>
          <w:tcPr>
            <w:tcW w:w="1100" w:type="dxa"/>
            <w:vAlign w:val="bottom"/>
            <w:gridSpan w:val="4"/>
          </w:tcPr>
          <w:p>
            <w:pPr>
              <w:ind w:left="320"/>
              <w:spacing w:after="0"/>
              <w:rPr>
                <w:sz w:val="20"/>
                <w:szCs w:val="20"/>
                <w:color w:val="auto"/>
              </w:rPr>
            </w:pPr>
            <w:r>
              <w:rPr>
                <w:rFonts w:ascii="Arial" w:cs="Arial" w:eastAsia="Arial" w:hAnsi="Arial"/>
                <w:sz w:val="14"/>
                <w:szCs w:val="14"/>
                <w:b w:val="1"/>
                <w:bCs w:val="1"/>
                <w:color w:val="auto"/>
              </w:rPr>
              <w:t>Group</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11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4"/>
          </w:tcPr>
          <w:p>
            <w:pPr>
              <w:ind w:left="3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controlling</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6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6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22"/>
                <w:szCs w:val="2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(Loss)</w:t>
            </w:r>
          </w:p>
        </w:tc>
        <w:tc>
          <w:tcPr>
            <w:tcW w:w="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22"/>
                <w:szCs w:val="2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w w:val="94"/>
              </w:rPr>
              <w:t>Balance, December 31,</w:t>
            </w: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2013</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4,642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 (707)</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5,535</w:t>
            </w:r>
          </w:p>
        </w:tc>
        <w:tc>
          <w:tcPr>
            <w:tcW w:w="10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Lender</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Processing Services,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Exercise of stock</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options</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Recapitalization of</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FNF stock</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w w:val="98"/>
              </w:rPr>
              <w:t>Tax benefit associated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with the exercise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earnings — unrealized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gain on investments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financial</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instruments (excluding</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investments in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unconsolidated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affiliates)</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w w:val="98"/>
              </w:rPr>
              <w:t>earnings — unrealized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loss on investments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unconsolidated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earnings — unrealized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loss on foreign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currency translation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and cash flow hedging</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earnings — minimum</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pension liability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adjustment</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w w:val="99"/>
              </w:rPr>
              <w:t>Retirement of treasury</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shares</w:t>
            </w:r>
          </w:p>
        </w:tc>
        <w:tc>
          <w:tcPr>
            <w:tcW w:w="5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Issuance of restricted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stock awards</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 by</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minority owner to</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acquire minority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in Black</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Knight Financial</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Services, LLC and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ServiceLink Holdings,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LLC</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Contributions to non-</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controlling interests</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Subsidiary dividends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declared to non-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controlling interests</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(loss)</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1"/>
              </w:rPr>
              <w:t>Balance, September 30,</w:t>
            </w:r>
          </w:p>
        </w:tc>
        <w:tc>
          <w:tcPr>
            <w:tcW w:w="6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4,822</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  —</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6,343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80" w:type="dxa"/>
            <w:vAlign w:val="bottom"/>
            <w:gridSpan w:val="3"/>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360"/>
          </w:cols>
          <w:pgMar w:left="240" w:top="121"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121" w:right="2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1"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For the nine months Ended</w:t>
      </w:r>
    </w:p>
    <w:p>
      <w:pPr>
        <w:spacing w:after="0" w:line="49"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Gain (loss) on sales of investments and other assets, net</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pledged cash, pledged investments, and secured trust deposits</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trade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344</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other assets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proceeds from short-term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 from (contributions to)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Additional investment in non-controlling interest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4% ownership interest of Digital Insurance, Inc.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35% of Black Knight Financial Services, LLC and ServiceLink, LLC to minority interest holder</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Equity and debt issuance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 excluding pledged cash related to secured trust deposits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r>
      <w:tr>
        <w:trPr>
          <w:trHeight w:val="284"/>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925</w:t>
            </w:r>
          </w:p>
        </w:tc>
      </w:tr>
      <w:tr>
        <w:trPr>
          <w:trHeight w:val="22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90"/>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 paid,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r>
      <w:tr>
        <w:trPr>
          <w:trHeight w:val="23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121" w:right="239" w:bottom="26" w:gutter="0" w:footer="0" w:header="0"/>
        </w:sect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1420"/>
          </w:cols>
          <w:pgMar w:left="240" w:top="121" w:right="239" w:bottom="26"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25"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This report should be read in conjunction with our Annual Report on Form 10-K for the year ended December 31, 2013.</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reclassifications have been made in the 2013 Condensed Consolidated Financial Statements to conform to classifications used in 2014. In addition, we have corrected an immaterial prior period error to accrued personnel cost which affected the Balance Sheet, the Statement of Earnings and the Statement of Equity. We reviewed the impact of this error on the prior period financial statements and determined that the error was not material to the financial statements.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summary of the effects of the immaterial correction on our Condensed Consolidated Financial Statements for the three and nine month periods ended September 30, 2013 and as of December 31, 2013 is as follows: Personnel costs increased $6 million in both the three and nine month periods ended September 30, 2013 and Income tax expense decreased by $2 million, resulting in Net earnings attributable to common shareholders decreasing by $4 million in each period, with a corresponding decrease to EPS of $0.02 for each period. On the December 31, 2013 Balance Sheet, Income taxes payable decreased by $4 million, Accounts payable and accrued expenses increased by $12 million and Retained earnings decreased by $8 million. There was no impact on our other Condensed Consolidated Financial Statements presented.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organized our business into two groups, FNF Core Operations and FNF Ventures, known as "FNFV." Through our Core operations, FNF is a leading provider of title insurance, technology and transaction services to the real estate and mortgage industries. FNF is the nation’s largest title insurance company through its title insurance underwriters - Fidelity National Title, Chicago Title, Commonwealth Land Title, Alamo Title and National Title of New York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In addition, in our FNFV group, we own majority and minority equity investment stakes in a number of entities, including American Blue Ribbon Holdings, LLC ("ABRH"), J. Alexander’s, LLC ("J. Alexander's"), Remy International, Inc. ("Remy"), Ceridian HCM, Inc. and Comdata Inc. (collectively "Ceridian") and Digital Insurance, Inc. ("Digital Insurance").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We did not repurchase any FNFV Group shares from November 6, 2014 through market close on November 7, 2014.</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9, 2014, we filed a draft registration statement with the Securities and Exchange Commission (“SEC”) relating to a proposed initial public offering of J. Alexander's common stock. J. Alexander's is currently presented as part of the Restaurant Group segment. The number of shares to be offered and the price range for the proposed offering have not yet been determined. The registration statement has not yet become effective. As a result shares to be registered may not be sold nor may offers to buy be accepted prior to the time when the registration statement becomes effective.</w:t>
      </w:r>
    </w:p>
    <w:p>
      <w:pPr>
        <w:spacing w:after="0" w:line="6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September 7, 2014, we entered into an agreement with Remy for a transaction (the "Spin-off"). Under the Spin-off, FNFV will combine all of the 16,342,508 shares of Remy common stock that FNFV owns and a small company called Fidelity National Technology Imaging, LLC ("Imaging") into a newly-formed subsidiary ("New Remy"). New Remy will then be distributed to FNFV shareholders. Immediately following the distribution of New Remy to FNFV shareholders, New Remy and Remy will engage in a series of stock-for-stock transactions ending with a new publicly-traded holding company, New Remy Holdco ("New Holdco"). In the Spin-off, FNFV shareholders will receive an estimated total of 16,615,359 shares of New Holdco common stock, or approximately 0.18117 shares for each share of FNFV tracking stock owned. The remaining shareholders of Remy (other than New Remy) will receive an estimated total of 15,652,824 shares, or one share of New Holdco for each share of Remy owned. Remy currently has approximately 32 million shares of common stock outstanding and at the conclusion of the Spin-off, New Holdco will have approximately 32 million shares of common stock outstanding. The Spin-off should be tax-free to all existing Remy and FNFV shareholders. This structure will result in New Holdco becoming the new public parent of Remy. Under the organizational documents of New Holdco, the rights of the holders of the common stock of New Holdco will be the same as the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rights of holders of Remy common stock. The Spin-off is subject to customary closing conditions, including Remy shareholder approval, which based on FNFV's ownership of Remy is assured. On October 6, 2014, New Holdco filed an initial Form S-4 registration statement with the SEC, which includes a preliminary proxy statement with respect to the foregoing shareholder vote. In addition, on October 10, 2014, New Remy filed a Form S-1 registration statement with the SEC with regard to the Spin-off. Both of these filings are subject to SEC review and comment before the Remy shareholder meeting can be set. The Spin-off is expected to close in December 2014 or in the first quarter of 2015.</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25, 2014, we acquired a 70% ownership interest in LandCastle Title ("LandCastle"), in exchange for our agreement to fund any escrow shortfalls in LandCastle's escrow accounts. At the time of the acquisition, LandCastle was a large third-party agent of FNF, operating primarily in the State of Georgia. To date, FNF's total cash contribution to LandCastle is approximately $19 million and based on our current understanding of the business could increase by approximately $0 - $10 million.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19, 2014, ABRH completed a recapitalization whereby they entered into a new credit agreement for $210 million. As part of the recapitalization, ABRH's parent paid a special dividend to it's members, totaling $75 million. Of this special dividend, FNFV received $41 million. ABRH's parent also distributed its 28% ownership interest in J. Alexander's to FNFV, resulting in FNFV now directly owning 87% of J. Alexander's. See Note F for further discussion of the new credit agreement.</w:t>
      </w:r>
    </w:p>
    <w:p>
      <w:pPr>
        <w:spacing w:after="0" w:line="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12, 2014, we announced that Ceridian reached an agreement to exchange its subsidiary Comdata Inc. ("Comdata") with FleetCor Technologies Inc. ("FleetCor") stock in a transaction valued at approximately $3.5 billion. After repayment of existing Comdata indebtedness and transaction related expenses, total consideration received by Ceridian will be approximately $950 million, which will be paid in approximately 7 million shares of FleetCor common stock. FNFV owns approximately 32% of Ceridian. Approximately $250 million of the common stock of FleetCor will be placed in an escrow account to cover potential indemnity claims as set forth in the merger agreement. The escrowed shares will be released over a three-year period. The actual number of shares of FleetCor common stock received by Ceridian will be subject to adjustment based on the amounts of indebtedness and working capital outstanding at Comdata at the closing of the transaction as set forth in the merger agreement. The shares of FleetCor common stock that Ceridian will receive will be subject to a six-month lockup period after closing of the transaction. At the expiration of the six-month lockup period, Ceridian will be entitled to demand registration rights on all shares of FleetCor common stock, subject to customary limitations. At closing of the Comdata merger FNFV will indirectly own approximately 3% of the outstanding shares of FleetCor. The stock-for-stock transaction is expected to be tax-free for Ceridian and its shareholders. The transaction is subject to customary closing conditions and is expected to close in the fourth quarter of 2014.</w:t>
      </w:r>
    </w:p>
    <w:p>
      <w:pPr>
        <w:spacing w:after="0" w:line="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As a result of this transfer, our ownership percentage in BKFS increased to 67%. Our results for periods since June 1, 2014, reflect our now 67% ownership interest in BKFS.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13, 2014, Remy acquired substantially all of the assets of United Starters and Alternators Industries, Inc. ("USA Industries"). USA Industries is a leading North American distributor of premium quality remanufactured and new alternators, starters, constant velocity axles and disc brake calipers for the light-duty aftermarket. Total consideration paid was $40 million, net of cash acquired.</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Old FNF common shares per share of LPS common stock. Total consideration paid for LPS was $3.4 billion, which consisted of $2,535 million in cash and $839 million in Old FNF common stock. In order to pay the stock component of the consideration, we issued 25,920,078 Old FNF shares to the former LPS shareholders. See Note B for further discussion.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No. 2014-08, </w:t>
      </w:r>
      <w:r>
        <w:rPr>
          <w:rFonts w:ascii="Arial" w:cs="Arial" w:eastAsia="Arial" w:hAnsi="Arial"/>
          <w:sz w:val="18"/>
          <w:szCs w:val="18"/>
          <w:i w:val="1"/>
          <w:iCs w:val="1"/>
          <w:color w:val="auto"/>
        </w:rPr>
        <w:t>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(Topic 205) and Property, Plant, and Equipment (Topic 360): Reporting Discontinued Operations and Disclosures of Disposals of Components of an Entity. </w:t>
      </w:r>
      <w:r>
        <w:rPr>
          <w:rFonts w:ascii="Arial" w:cs="Arial" w:eastAsia="Arial" w:hAnsi="Arial"/>
          <w:sz w:val="18"/>
          <w:szCs w:val="18"/>
          <w:color w:val="auto"/>
        </w:rPr>
        <w:t>This ASU raises the threshold for a disposal to qualify as a discontinued operation and requires new disclosures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and certain other disposals that do not meet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definition of a discontinued operation. This ASU is effective for annual periods beginning after December 15, 2014, and interim periods within annual periods beginning on or after December 15, 2015, with early adoption permitted. We have adopted this ASU for the interim period beginning July 1, 2014 and this update did not have a material impact on our financial statements.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a small software company, which we acquired with LPS and which was sold during the second quarter of 2014, are included in the Condensed Consolidated Statements of Earnings as discontinued operations for all periods presented. Total revenues included in discontinued operations were $2 million for the nine months ending September 30, 2014. Pre-tax earnings included in discontinued operations are $1 million for the nine months ending September 30, 2014.</w:t>
      </w:r>
    </w:p>
    <w:p>
      <w:pPr>
        <w:spacing w:after="0" w:line="1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from two closed J. Alexander's locations and a settlement services company closed in the second quarter of 2013 are reflected in the Condensed Consolidated Statements of Earnings as discontinued operations for all periods presented. There were no revenues included in discontinued operations for the three months ending September 30, 2013, and $8 million for the nine months ending September 30, 2013. Pre-tax loss included in discontinued operations was $3 million for the nine months ending September 30, 2013. There was no pre-tax earnings or loss for the three months ending September 13,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no longer have any officers in common with Fidelity National Information Services, Inc. ("FIS"), effective January 1, 2014, we no longer consider FIS a related party.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December 31, 2013 is as follows:</w:t>
      </w:r>
    </w:p>
    <w:p>
      <w:pPr>
        <w:spacing w:after="0" w:line="279" w:lineRule="exact"/>
        <w:rPr>
          <w:sz w:val="20"/>
          <w:szCs w:val="20"/>
          <w:color w:val="auto"/>
        </w:rPr>
      </w:pPr>
    </w:p>
    <w:p>
      <w:pPr>
        <w:jc w:val="both"/>
        <w:ind w:left="660" w:right="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Technology (“IT”) and data processing services from FIS. This agreement governs IT support services provided to us by FIS, primarily consisting of infrastructure support and data center management. Certain subsidiaries of FIS also provided technology consulting services to FNF during 2013.</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Administrative aviation corporate support and cost-sharing services to FIS.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52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Nine months ended</w:t>
            </w:r>
          </w:p>
        </w:tc>
      </w:tr>
      <w:tr>
        <w:trPr>
          <w:trHeight w:val="192"/>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2013</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 2013</w:t>
            </w:r>
          </w:p>
        </w:tc>
      </w:tr>
      <w:tr>
        <w:trPr>
          <w:trHeight w:val="196"/>
        </w:trPr>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4"/>
          </w:tcPr>
          <w:p>
            <w:pPr>
              <w:jc w:val="right"/>
              <w:ind w:right="129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amounts earned by us or charged to us under each of the foregoing arrangements are fair and reasonable. The IT infrastructure support and data center management services provided to us are priced within the range of prices that FIS offers to its unaffiliated third party customers for the same types of services. However, the amounts we earned or were charged under these arrangements were not negotiated at arm’s-length, and may not represent the terms that we might have obtained from an unrelated third party. The net amount due to FIS as a result of these agreements was $3 million as of December 31, 2013.</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equity securities available for sale at December 31, 2013, are 1,303,860 shares of FIS stock which were purchased during the fourth quarter of 2009 in connection with a merger between FIS and Metavante Technologies, Inc. The fair value of our investment was $70 million as of December 31, 2013.</w:t>
      </w:r>
    </w:p>
    <w:p>
      <w:pPr>
        <w:spacing w:after="0" w:line="73" w:lineRule="exact"/>
        <w:rPr>
          <w:sz w:val="20"/>
          <w:szCs w:val="20"/>
          <w:color w:val="auto"/>
        </w:rPr>
      </w:pPr>
    </w:p>
    <w:p>
      <w:pPr>
        <w:ind w:right="2220" w:firstLine="324"/>
        <w:spacing w:after="0" w:line="375" w:lineRule="auto"/>
        <w:rPr>
          <w:sz w:val="20"/>
          <w:szCs w:val="20"/>
          <w:color w:val="auto"/>
        </w:rPr>
      </w:pPr>
      <w:r>
        <w:rPr>
          <w:rFonts w:ascii="Arial" w:cs="Arial" w:eastAsia="Arial" w:hAnsi="Arial"/>
          <w:sz w:val="18"/>
          <w:szCs w:val="18"/>
          <w:color w:val="auto"/>
        </w:rPr>
        <w:t xml:space="preserve">Also included in fixed maturities available for sale are FIS bonds with a fair value of $42 million as of December 31, 2013. </w:t>
      </w:r>
      <w:r>
        <w:rPr>
          <w:rFonts w:ascii="Arial" w:cs="Arial" w:eastAsia="Arial" w:hAnsi="Arial"/>
          <w:sz w:val="18"/>
          <w:szCs w:val="18"/>
          <w:b w:val="1"/>
          <w:bCs w:val="1"/>
          <w:i w:val="1"/>
          <w:iCs w:val="1"/>
          <w:color w:val="auto"/>
        </w:rPr>
        <w:t>Earnings Per Share</w:t>
      </w:r>
    </w:p>
    <w:p>
      <w:pPr>
        <w:spacing w:after="0" w:line="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w:t>
      </w:r>
    </w:p>
    <w:p>
      <w:pPr>
        <w:sectPr>
          <w:pgSz w:w="11900" w:h="16838" w:orient="portrait"/>
          <w:cols w:equalWidth="0" w:num="1">
            <w:col w:w="11420"/>
          </w:cols>
          <w:pgMar w:left="240" w:top="121"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been treated as common share equivalents for purposes of calculating diluted earnings per share for periods in which positive earnings have been reported.</w:t>
      </w:r>
    </w:p>
    <w:p>
      <w:pPr>
        <w:spacing w:after="0" w:line="1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no antidilutive options during the three and nine month periods ended September 30, 2014. There were one million shares related to antidilutive options excluded for the three and nine month periods ended September 30, 2013.</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close of business on June 30, 2014, we completed the recapitalization of Old FNF common stock into two tracking stocks, FNF Group common stock and FNFV Group common stock. As a result of the recapitalization, the weighted average shares outstanding presented on the Condensed Consolidated Statements of Earnings includes shares of Old FNF common stock, FNF Group common stock and FNFV Group common stock. Earnings per share for all periods presented is attributed to the related class of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 of Lender Processing Services, Inc.</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Condensed Consolidated Financial Statements from and after the date of acquisition.</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January 2, 2014, we completed the purchase of LPS. The purchase consideration paid was $37.14 per share, of which $28.10 per share was paid in cash and the remaining $9.04 was paid in Old FNF common shares. The purchase consideration represented an exchange ratio of 0.28742 Old FNF common shares per share of LPS common stock. Total consideration paid for LPS was $3.4 billion, which consisted of $2,535 million in cash and $839 million in Old FNF common stock. In order to pay the stock component of the consideration, we issued 25,920,078 Old FNF shares to the former LPS shareholders. Goodwill has been recorded based on the amount that the purchase price exceeded the fair value of the net assets acquired.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260" w:type="dxa"/>
            <w:vAlign w:val="bottom"/>
          </w:tcPr>
          <w:p>
            <w:pPr>
              <w:ind w:left="320"/>
              <w:spacing w:after="0"/>
              <w:rPr>
                <w:sz w:val="20"/>
                <w:szCs w:val="20"/>
                <w:color w:val="auto"/>
              </w:rPr>
            </w:pPr>
            <w:r>
              <w:rPr>
                <w:rFonts w:ascii="Arial" w:cs="Arial" w:eastAsia="Arial" w:hAnsi="Arial"/>
                <w:sz w:val="18"/>
                <w:szCs w:val="18"/>
                <w:color w:val="auto"/>
              </w:rPr>
              <w:t>The initial purchase price is as follows (in millions):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35"/>
        </w:trPr>
        <w:tc>
          <w:tcPr>
            <w:tcW w:w="10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LPS outstanding shares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 from LPS</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 for LPS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FNF common stock issued (25,920,078 shares)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r>
      <w:tr>
        <w:trPr>
          <w:trHeight w:val="20"/>
        </w:trPr>
        <w:tc>
          <w:tcPr>
            <w:tcW w:w="10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price has been initially allocated to the LPS assets acquired and liabilities assumed based on our best estimates of their fair values as of the acquisition date. Goodwill has been recorded based on the amount that the purchase price exceeds the fair value of the net assets acquired. This estimate is preliminary and subject to adjustments as we complete our valuation process with respect to certain intangible assets, legal contingencies, taxes and goodwill, which we expect to have complete by December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028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42"/>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920" w:type="dxa"/>
            <w:vAlign w:val="bottom"/>
          </w:tcPr>
          <w:p>
            <w:pPr>
              <w:jc w:val="center"/>
              <w:ind w:right="11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NOTES TO CONDENSED CONSOLIDATED FINANCIAL STATEMENTS (UNAUDITED) — continued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75"/>
        </w:trPr>
        <w:tc>
          <w:tcPr>
            <w:tcW w:w="2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Arial" w:cs="Arial" w:eastAsia="Arial" w:hAnsi="Arial"/>
                <w:sz w:val="18"/>
                <w:szCs w:val="18"/>
                <w:color w:val="auto"/>
              </w:rPr>
              <w:t>The initial purchase price allocation is as follows (in millions):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and notes receivable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Intangible assets including title plants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1,010</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3,012</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5,103</w:t>
            </w:r>
          </w:p>
        </w:tc>
      </w:tr>
      <w:tr>
        <w:trPr>
          <w:trHeight w:val="243"/>
        </w:trPr>
        <w:tc>
          <w:tcPr>
            <w:tcW w:w="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Notes payable</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1,091</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Reserve for title claims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 assumed</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37"/>
        </w:trPr>
        <w:tc>
          <w:tcPr>
            <w:tcW w:w="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0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LPS acquisition, we formed a wholly-owned subsidiary, Black Knight Holdings, Inc. ("Black Knight"). Black Knight is the mortgage and finance industries' leading provider of integrated technology, data and analytics solutions, and transaction services. Black Knight has two operating businesses, ServiceLink and BKFS. After acquiring LPS, we retained a 65% ownership interest in each of the subsidiaries and the subsidiaries each issued 35% minority ownership interest to funds affiliated with Thomas H. Lee Partners and certain related entities on January 3, 2014. BKFS and ServiceLink now own and operate the former LPS businesses and our legacy ServiceLink business.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intangible assets acquired (in millions, except for useful life):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Average Useful</w:t>
            </w:r>
          </w:p>
        </w:tc>
        <w:tc>
          <w:tcPr>
            <w:tcW w:w="180" w:type="dxa"/>
            <w:vAlign w:val="bottom"/>
          </w:tcPr>
          <w:p>
            <w:pPr>
              <w:spacing w:after="0"/>
              <w:rPr>
                <w:sz w:val="14"/>
                <w:szCs w:val="14"/>
                <w:color w:val="auto"/>
              </w:rPr>
            </w:pPr>
          </w:p>
        </w:tc>
        <w:tc>
          <w:tcPr>
            <w:tcW w:w="15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2"/>
              </w:rPr>
              <w:t>Residual Value as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Life in Years as of</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Consolidation</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Consolidation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September 30, 2014</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Amortizing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530</w:t>
            </w:r>
          </w:p>
        </w:tc>
        <w:tc>
          <w:tcPr>
            <w:tcW w:w="182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82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w:t>
            </w:r>
          </w:p>
        </w:tc>
        <w:tc>
          <w:tcPr>
            <w:tcW w:w="1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82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Non-amortizing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Title plants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and capitalized software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comparative purposes, selected unaudited pro-forma consolidated results of operations of FNF for the three and nine months ending September 30, 2014 and 2013 are presented below. Pro-forma results presented assume the consolidation of Black Knight occurred as of the beginning of the 2013 period. Amounts reflect our 65% ownership interest in BKFS and our 65%</w:t>
      </w:r>
    </w:p>
    <w:p>
      <w:pPr>
        <w:sectPr>
          <w:pgSz w:w="11900" w:h="16838" w:orient="portrait"/>
          <w:cols w:equalWidth="0" w:num="1">
            <w:col w:w="11420"/>
          </w:cols>
          <w:pgMar w:left="240" w:top="10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08"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ownership interest in ServiceLink and were adjusted to exclude costs directly attributable to the acquisition of LPS including transaction costs, severance costs and costs related to our synergy bonus program associated with the acquisition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3"/>
        </w:trPr>
        <w:tc>
          <w:tcPr>
            <w:tcW w:w="65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w w:val="99"/>
              </w:rPr>
              <w:t>Net earnings attributable to Fidelity National Financial, Inc. common shareholders</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430</w:t>
            </w: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As a result of this transfer, our ownership percentage in BKFS increased to 67%. Our results for periods since June 1, 2014, reflect our now 67% ownership interest in BKFS.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our acquisition of LPS, the following additions were made to our significant accounting policies during the first quarter of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BKFS Revenue Recognition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Within our BKFS segment, we recognize revenues in accordance with Financial Accounting Standards Board (“FASB”) Accounting Standards Codification (“ASC”) Topic 605, Revenue Recognition (“ASC 605”). Recording revenues requires judgment, including determining whether an arrangement includes multiple elements, whether any of the elements are essential to the functionality of any other elements, and the allocation of the consideration based on each element's relative selling price. Customers receive certain contract elements over time and changes to the elements in an arrangement, or in our determination of the relative selling price for these elements, could materially impact the amount of earned and unearned revenue reflected in our financial statements.</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primary judgments relating to our revenue recognition are determining when all of the following criteria are met: (1) persuasive evidence of an arrangement exists; (2) delivery has occurred or services have been rendered; (3) the seller’s price to the buyer is fixed or determinable; and (4) collectability is reasonably assured. Judgment is also required to determine whether an arrangement involving more than one deliverable contains more than one unit of accounting and how the arrangement consideration should be measured and allocated to the separate units of accounting.</w:t>
      </w:r>
    </w:p>
    <w:p>
      <w:pPr>
        <w:spacing w:after="0" w:line="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the deliverables under a contract are software related, we determine the appropriate units of accounting and how the arrangement consideration should be measured and allocated to the separate units. This determination, as well as management’s ability to establish vendor specific objective evidence (“VSOE”) for the individual deliverables, can impact both the amount and the timing of revenue recognition under these agreements. The inability to establish VSOE for each contract deliverable results in having to record deferred revenues and/or applying the residual method. For arrangements where we determine VSOE for software maintenance using a stated renewal rate within the contract, we use judgment to determine whether the renewal rate represents fair value for that element as if it had been sold on a stand-alone basis. For a small percentage of revenues, we use contract accounting when the arrangement with the customer includes significant customization, modification, or production of software. For elements accounted for under contract accounting, revenue is recognized using the percentage-of-completion method since reasonably dependable estimates of revenues and contract hours applicable to various elements of a contract can be made.</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often party to multiple concurrent contracts with the same customer. These situations require judgment to determine whether the individual contracts should be aggregated or evaluated separately for purposes of revenue recognition. In making this determination we consider the timing of negotiating and executing the contracts, whether the different elements of the contracts are interdependent and whether any of the payment terms of the contracts are interrelated.</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large number, broad nature and average size of individual contracts we are a party to, the impact of judgments and assumptions that we apply in recognizing revenue for any single contract is not likely to have a material effect on our consolidated operations. However, the broader accounting policy assumptions that we apply across similar arrangements or classes of customers could significantly influence the timing and amount of revenue recognized in our result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methods over its estimated useful life, ranging from 5 to 10 years. In our BKFS segment we have significant internally developed software. These costs are amortized using the straight-line method over the estimated useful life. Useful lives of computer software range from 3 to 10 years. Capitalized software development costs are accounted for in accordance with either ASC Topic 985, Software, Subtopic 20, Costs of Software to Be Sold, Leased, or Marketed (“ASC 985-20”), or ASC 350, Subtopic 40, Internal-Use Software (“ASC 350-40”). For software products to be sold, leased, or otherwise marketed (ASC 985-20 software),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(ASC 350-40 software),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have not historically experienced material changes in these estimates but could be subject to them in the future.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discussed above, subsequent to the acquisition of LPS we issued 35% ownership interests in each of BKFS and ServiceLink to funds affiliated with Thomas H. Lee Partners ("THL" or "the minority interest holder"). As part of the Unit Purchase Agreement with THL, THL has an option to put their ownership interests of either or both of BKFS and ServiceLink to us if no public offering of the corresponding business has been consummated after four years from the date of FNF's purchase of LPS. The units owned by THL ("redeemable noncontrolling interests") may be settled in cash or common stock of FNF or a combination of both at our election. The redeemable noncontrolling interests will be settled at the current fair value at the time we receive notice of THL's put election as determined by the parties or by a third party appraisal under the terms of the Unit Purchase Agreement. As of September 30, 2014, we do not believe the exercise of this put right to be probable.</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these redeemable noncontrolling interests provide for redemption features not solely within our control, we classify the redeemable noncontrolling interests outside of permanent equity in accordance with ASC 480-10, “Distinguishing Liabilities from Equity.” Redeemable noncontrolling interests held by third parties in subsidiaries owned or controlled by FNF is reported on the Condensed Consolidated Balance Sheet outside permanent equity; and the Condensed Consolidated Statement of Earnings reflects the respective redeemable noncontrolling interests in Net earnings (loss) attributable to non-controlling interests, the effect of which is removed from the net earnings attributable to Fidelity National Financial, Inc.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fair value hierarchy for those assets and liabilities measured at fair value on a recurring basis as of September 30, 2014 and December 31, 2013,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1"/>
              </w:rPr>
              <w:t>September 30, 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199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1"/>
              </w:rPr>
              <w:t>December 31, 2013</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209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0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currency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Level 3 investments consist of structured notes that were purchased in 2009. During the third quarter of 2014, all of our outstanding structured notes matured and we received $39 million in cash upon maturity, resulting in a net realized (loss) gain of $(2) million and $1 million for the three and nine months ending September 30, 2014. We recorded no gain or loss relating to the structured notes during the three months ended September 30, 2013, and recorded a net loss of $2 million in the nine months ended September 30, 2013. We held no structured notes at September 30, 2014 and the structured notes had a par value and a fair value of $38 million at December 31, 2013. The structured notes were held for general investment purposes and represented approximately one percent of our total investment portfolio. The structured notes were classified as other long-term investments and were measured in their entirety at fair value with changes in fair value recognized in earnings. The fair value of these instruments represented exit prices obtained from a broker-dealer. These exit prices were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we believe they represented an exit price for the securities at December 31, 2013.</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investments that are classified as Level 3 for the period ended September 30, 2014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realized gain</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0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received upon maturity</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September 30, 2014</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0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September 30, 2014 and December 31, 2013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2014</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1,744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3,365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1,606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136</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September 30, 2014</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3,022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$1,393 million and $1,417 million in amortized cost and fair value, respectively, of fixed maturity securities with make-whole call provisions as of September 30, 2014.</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Included in our other long-term investments at December 31, 2013, are fixed maturity structured notes purchased in 2009 and various cost-method investments. The structured notes matured during the third quarter of 2014. The structured notes were carried at fair value (see Note C) and changes in the fair value of these structured notes were recorded as Realized gains and losses in the Condensed Consolidated Statements of Earnings.</w:t>
      </w:r>
    </w:p>
    <w:p>
      <w:pPr>
        <w:spacing w:after="0" w:line="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unrealized losses on investment securities and the fair value of the related securities, aggregated by investment category and length of time that individual securities have been in a continuous unrealized loss position at September 30, 2014 and December 31, 2013, were as follows (in millions):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536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561</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political subdivisions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and nine month period ended September 30, 2014, we recorded no impairment charges relating to investments. During the three-month period ended September 30, 2013, we recorded no impairment charges relating to investments. During the nine month period ended September 30, 2013, we recorded impairment charges on fixed maturity securities relating to investments that were determined to be other-than-temporarily impaired, which resulted in additional expense of $1 million. As of September 30, 2014, we held no fixed maturity securities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nine-month periods ending September 30, 2014 and 2013,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9"/>
          </w:tcPr>
          <w:p>
            <w:pPr>
              <w:jc w:val="right"/>
              <w:ind w:right="496"/>
              <w:spacing w:after="0"/>
              <w:rPr>
                <w:sz w:val="20"/>
                <w:szCs w:val="20"/>
                <w:color w:val="auto"/>
              </w:rPr>
            </w:pPr>
            <w:r>
              <w:rPr>
                <w:rFonts w:ascii="Arial" w:cs="Arial" w:eastAsia="Arial" w:hAnsi="Arial"/>
                <w:sz w:val="14"/>
                <w:szCs w:val="14"/>
                <w:b w:val="1"/>
                <w:bCs w:val="1"/>
                <w:color w:val="auto"/>
                <w:w w:val="91"/>
              </w:rPr>
              <w:t>Three months ended September 30, 2014</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9"/>
          </w:tcPr>
          <w:p>
            <w:pPr>
              <w:jc w:val="center"/>
              <w:ind w:right="313"/>
              <w:spacing w:after="0"/>
              <w:rPr>
                <w:sz w:val="20"/>
                <w:szCs w:val="20"/>
                <w:color w:val="auto"/>
              </w:rPr>
            </w:pPr>
            <w:r>
              <w:rPr>
                <w:rFonts w:ascii="Arial" w:cs="Arial" w:eastAsia="Arial" w:hAnsi="Arial"/>
                <w:sz w:val="14"/>
                <w:szCs w:val="14"/>
                <w:b w:val="1"/>
                <w:bCs w:val="1"/>
                <w:color w:val="auto"/>
                <w:w w:val="91"/>
              </w:rPr>
              <w:t>Nine months ended September 30, 2014</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3"/>
            <w:vMerge w:val="restart"/>
          </w:tcPr>
          <w:p>
            <w:pPr>
              <w:jc w:val="center"/>
              <w:ind w:left="162"/>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1"/>
              </w:rPr>
              <w:t>Gross Proceeds</w:t>
            </w:r>
          </w:p>
        </w:tc>
        <w:tc>
          <w:tcPr>
            <w:tcW w:w="10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Realized</w:t>
            </w: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Realized</w:t>
            </w:r>
          </w:p>
        </w:tc>
        <w:tc>
          <w:tcPr>
            <w:tcW w:w="10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94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60" w:type="dxa"/>
            <w:vAlign w:val="bottom"/>
          </w:tcPr>
          <w:p>
            <w:pPr>
              <w:spacing w:after="0"/>
              <w:rPr>
                <w:sz w:val="12"/>
                <w:szCs w:val="12"/>
                <w:color w:val="auto"/>
              </w:rPr>
            </w:pPr>
          </w:p>
        </w:tc>
        <w:tc>
          <w:tcPr>
            <w:tcW w:w="6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2"/>
                <w:szCs w:val="12"/>
                <w:color w:val="auto"/>
              </w:rPr>
            </w:pPr>
          </w:p>
        </w:tc>
        <w:tc>
          <w:tcPr>
            <w:tcW w:w="74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162"/>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Gains (Losses)</w:t>
            </w: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Fixed maturity securities available for</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8"/>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61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28"/>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1"/>
                <w:szCs w:val="21"/>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286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 2013</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3"/>
              </w:rPr>
              <w:t>Nine months ended September 30, 2013</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Realized</w:t>
            </w:r>
          </w:p>
        </w:tc>
        <w:tc>
          <w:tcPr>
            <w:tcW w:w="7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3"/>
              </w:rPr>
              <w:t>Net Realized</w:t>
            </w:r>
          </w:p>
        </w:tc>
        <w:tc>
          <w:tcPr>
            <w:tcW w:w="100" w:type="dxa"/>
            <w:vAlign w:val="bottom"/>
          </w:tcPr>
          <w:p>
            <w:pPr>
              <w:spacing w:after="0"/>
              <w:rPr>
                <w:sz w:val="13"/>
                <w:szCs w:val="13"/>
                <w:color w:val="auto"/>
              </w:rPr>
            </w:pPr>
          </w:p>
        </w:tc>
        <w:tc>
          <w:tcPr>
            <w:tcW w:w="1260" w:type="dxa"/>
            <w:vAlign w:val="bottom"/>
            <w:gridSpan w:val="6"/>
          </w:tcPr>
          <w:p>
            <w:pPr>
              <w:jc w:val="right"/>
              <w:ind w:right="280"/>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100" w:type="dxa"/>
            <w:vAlign w:val="bottom"/>
          </w:tcPr>
          <w:p>
            <w:pPr>
              <w:spacing w:after="0"/>
              <w:rPr>
                <w:sz w:val="13"/>
                <w:szCs w:val="13"/>
                <w:color w:val="auto"/>
              </w:rPr>
            </w:pPr>
          </w:p>
        </w:tc>
        <w:tc>
          <w:tcPr>
            <w:tcW w:w="540" w:type="dxa"/>
            <w:vAlign w:val="bottom"/>
            <w:gridSpan w:val="2"/>
          </w:tcPr>
          <w:p>
            <w:pPr>
              <w:jc w:val="center"/>
              <w:ind w:right="108"/>
              <w:spacing w:after="0" w:line="15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9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102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from</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Realized</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2"/>
                <w:szCs w:val="12"/>
                <w:color w:val="auto"/>
              </w:rPr>
            </w:pPr>
          </w:p>
        </w:tc>
        <w:tc>
          <w:tcPr>
            <w:tcW w:w="74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Gains</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w w:val="97"/>
              </w:rPr>
              <w:t>Gains (Losses)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Sale/Maturity</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sale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extinguishment costs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September 30, 2014 and December 31, 2013,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62</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year ended December 31, 2013, we purchased $32 million in Ceridian bonds which are included in Fixed maturity securities available for sale on the Condensed Consolidated Balance Sheets and had a fair value of $36 million as of December 31, 2013. During the nine month period ended September 30, 2014, we sold $2 million of the Ceridian bonds. Our remaining investment in Ceridian bonds had a fair value of $33 million as of September 30,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historically accounted for our equity in Ceridian on a three-month lag. However, during the first quarter of 2014, we began to account for our equity in Ceridian on a real-time basis. Accordingly, our net earnings for the three-month period ended September 30, 2014, includes our equity in Ceridian's earnings for the three-month period ended September 30, 2014. Our earnings for the three-month period ended September 30, 2013 includes our equity in Ceridian's earnings for the three-month period ended June 30, 2013. Our earnings for the nine-month period ended September 30, 2014, includes our equity in Ceridian’s earnings for the three-month period ended December 31, 2013 and the nine-month period ended September 30, 2014. Our net earnings for the nine-month period ended September 30, 2013, includes our equity in Ceridian’s earnings for the nine-month period ended June 30, 2013. During the three month periods ended September 30, 2014 and 2013, we recorded $9 million and $14 million, in equity in losses of Ceridian, respectively. During the nine month periods ending September 30, 2014 and 2013, we recorded $44 million and $24 million, respectively, in equity in Ceridian's losses. There was $2 million equity in earnings for other unconsolidated affiliates during the three month period ending September 30, 2014, and there were no equity in earnings of other unconsolidated affiliates during the three months ending September 30, 2013. There were $1 million and $4 million in equity in earnings of other unconsolidated affiliates during the nine month periods ended September 30, 2014 and 2013, respectively.</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Ceridian for the relevant dates and time periods included in our Condensed Consolidated Financial Statements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196"/>
        </w:trPr>
        <w:tc>
          <w:tcPr>
            <w:tcW w:w="8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3,897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9,568</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958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3,406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9,568</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Three Months Ended</w:t>
            </w: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w w:val="97"/>
              </w:rPr>
              <w:t>Three Months Ended June</w:t>
            </w:r>
          </w:p>
        </w:tc>
        <w:tc>
          <w:tcPr>
            <w:tcW w:w="240" w:type="dxa"/>
            <w:vAlign w:val="bottom"/>
          </w:tcPr>
          <w:p>
            <w:pPr>
              <w:spacing w:after="0"/>
              <w:rPr>
                <w:sz w:val="14"/>
                <w:szCs w:val="14"/>
                <w:color w:val="auto"/>
              </w:rPr>
            </w:pPr>
          </w:p>
        </w:tc>
        <w:tc>
          <w:tcPr>
            <w:tcW w:w="170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Twelve Months Ended</w:t>
            </w:r>
          </w:p>
        </w:tc>
        <w:tc>
          <w:tcPr>
            <w:tcW w:w="180" w:type="dxa"/>
            <w:vAlign w:val="bottom"/>
          </w:tcPr>
          <w:p>
            <w:pPr>
              <w:spacing w:after="0"/>
              <w:rPr>
                <w:sz w:val="14"/>
                <w:szCs w:val="14"/>
                <w:color w:val="auto"/>
              </w:rPr>
            </w:pPr>
          </w:p>
        </w:tc>
        <w:tc>
          <w:tcPr>
            <w:tcW w:w="17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Nine Months Ended June</w:t>
            </w:r>
          </w:p>
        </w:tc>
      </w:t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7"/>
              </w:rPr>
              <w:t>September 30, 2014</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30, 2013</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30, 2013</w:t>
            </w:r>
          </w:p>
        </w:tc>
      </w:tr>
      <w:tr>
        <w:trPr>
          <w:trHeight w:val="19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20" w:type="dxa"/>
            <w:vAlign w:val="bottom"/>
            <w:gridSpan w:val="3"/>
          </w:tcPr>
          <w:p>
            <w:pPr>
              <w:jc w:val="center"/>
              <w:ind w:right="237"/>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379</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1"/>
                <w:szCs w:val="21"/>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—Remy Derivative Financial Instruments and Concentration of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financial market risks faced by, and derivative instruments held by, Remy.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eighteen months to hedge against currency rate fluctuations, all of which are designated as hedges. As of September 30, 2014 and December 31, 2013, Remy had the following outstanding foreign currency contracts to hedge forecasted purchases and revenues (in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Currency Denomination</w:t>
            </w:r>
          </w:p>
        </w:tc>
      </w:tr>
      <w:tr>
        <w:trPr>
          <w:trHeight w:val="252"/>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Foreign currency contract</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Korean Won Forward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Mexican Peso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 Forward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Hungarian Forint Forward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British Pound Forward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were no net accumulated unrealized gains and $2 million relating to these instruments recorded in Accumulated other comprehensive earnings (loss) as of September 30, 2014 and December 31, 2013, respectively. As of September 30, 2014, there were no gains related to these instruments expected to be reclassified to the Condensed Consolidated Statement of Earnings within the next 12 months. Any ineffectiveness during the three and nine month period ended September 30, 2014 was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Remy entered into an interest rate swap agreement in respect of 50% of the outstanding principal balance of its Term B Loan under which a variable LIBOR rate with a floor of 1.75% was swapped to a fixed rate of 3.35%. Due to the significant value of the terminated swaps which were transferred into this swap, this interest rate swap is an undesignated hedge and changes in the fair value are recorded as Interest expense in the accompanying Condensed Consolidated Statements of Earnings.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27, 2013, Remy terminated its undesignated Term B Loan interest rate swap and transferred the value into a new undesignated interest rate swap agreement of $72 million of the outstanding principal loan balance under which Remy will swap a variable LIBOR rate with a floor of 1.25% to a fixed rate of 4.05% with an effective date of December 30, 2016 and expiration date of December 31, 2019. The notional value of this interest rate swap is $72 million. Due to the significant value of the terminated swaps which were transferred into this new swap, this interest rate swap is an undesignated hedge and changes in the fair value are recorded as Interest expense in the accompanying Condensed Consolidated Statements of Earnings.</w:t>
      </w:r>
    </w:p>
    <w:p>
      <w:pPr>
        <w:spacing w:after="0" w:line="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27, 2013, Remy also entered into a designated interest rate swap agreement for $72 million of the outstanding principal balance of its long term debt. Under the terms of the new interest rate swap agreement, Remy will swap a variable LIBOR rate with a floor of 1.25% to a fixed rate of 2.75% with an effective date of December 30, 2016 and expiration date of December 31, 2019. The notional value of this interest rate swap is $72 million. This interest rate swap has been designated as a cash flow hedging instrument. There were no accumulated unrealized gains or losses recorded in Accumulated other comprehensive earnings (loss) as of September 30, 2014. Accumulated unrealized net gains of $1 million were recorded in Accumulated other comprehensive (loss) earnings as of December 31, 2013. As of September 30, 2014, no gains are expected to be reclassified to the Condensed Consolidated Statement of Earnings within the next twelve months. Any ineffectiveness during the three and nine month periods ended September 30, 2014 was immaterial.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rate swaps reduce Remy's overall interest rate risk.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2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had thirty-seven commodity price hedge contracts outstanding at September 30, 2014, and thirty-two commodity price hedge contracts outstanding at December 31, 2013, with combined notional quantities of 7,169 and 6,368 metric tons of copper, respectively. These contracts mature within the next eighteen months and are designated as cash flow hedging instruments. Accumulated unrealized net losses of$2 million and $1 million, excluding the tax effect, were recorded in Accumulated other comprehensive earnings as of September 30, 2014 and December 31, 2013, respectively, related to these contracts. As of September 30, 2014, there are $2 million in net losses related to these contracts that expected to be reclassified to the accompanying Condensed Consolidated Statement of Earnings within the next 12 months. Hedging ineffectiveness during the three and nine month periods ended September 30, 2014 was immaterial.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Remy's derivative positions and any related material collateral under master netting agreements are presented in our financial statements on a gross basis.</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derivatives designated as cash flow hedges, changes in the time value are excluded from the assessment of hedge effectiveness. Unrealized gains and losses associated with ineffective hedges, determined using the change in fair value method, are recognized in the accompanying Condensed Consolidated Statement of Earnings. Derivative gains and losses included in Accumulated other comprehensive earnings for effective hedges are reclassified into the accompanying Condensed Consolidated Statement of Earnings upon recognition of the hedged transaction.</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derivative instrument designated initially, but no longer effective as a hedge, or initially not effective as a hedge, is recorded at fair value and the related gains and losses are recognized in the accompanying Condensed Consolidated Statement of Earnings. Remy's undesignated hedges are primarily Remy's interest rate swaps whose fair value at inception of the instrument due to the rollover of existing interest rate swaps resulted in ineffectiveness. All asset and liability derivatives are included in Prepaid expenses and other assets and Accounts payable and accrued liabilities, respectively, on the Condensed Consolidated Balance Sheets. The following table discloses the fair values of Remy's derivative instruments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 2014</w:t>
            </w:r>
          </w:p>
        </w:tc>
        <w:tc>
          <w:tcPr>
            <w:tcW w:w="160" w:type="dxa"/>
            <w:vAlign w:val="bottom"/>
          </w:tcPr>
          <w:p>
            <w:pPr>
              <w:spacing w:after="0"/>
              <w:rPr>
                <w:sz w:val="20"/>
                <w:szCs w:val="20"/>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Asset</w:t>
            </w:r>
          </w:p>
        </w:tc>
        <w:tc>
          <w:tcPr>
            <w:tcW w:w="16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r>
      <w:tr>
        <w:trPr>
          <w:trHeight w:val="234"/>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Derivatives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Derivatives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Gains and losses on Remy's derivative instruments, which are reclassified from Accumulated other comprehensive earnings (AOCE) into earnings, are included in Cost of auto parts revenue for commodity and foreign currency contracts, and Interest expense for interest rate swap contracts in the accompanying Condensed Consolidated Statement of Earnings.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three months ended September 30,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three months ended September 30, 2013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nine months ended September 30,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nine months ended September 30, 2013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Amount of gain (loss)</w:t>
            </w: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Amount of gain (loss)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00" w:type="dxa"/>
            <w:vAlign w:val="bottom"/>
            <w:gridSpan w:val="3"/>
          </w:tcPr>
          <w:p>
            <w:pPr>
              <w:ind w:left="140"/>
              <w:spacing w:after="0"/>
              <w:rPr>
                <w:sz w:val="20"/>
                <w:szCs w:val="20"/>
                <w:color w:val="auto"/>
              </w:rPr>
            </w:pPr>
            <w:r>
              <w:rPr>
                <w:rFonts w:ascii="Arial" w:cs="Arial" w:eastAsia="Arial" w:hAnsi="Arial"/>
                <w:sz w:val="14"/>
                <w:szCs w:val="14"/>
                <w:b w:val="1"/>
                <w:bCs w:val="1"/>
                <w:color w:val="auto"/>
              </w:rPr>
              <w:t>(effective portion)</w:t>
            </w:r>
          </w:p>
        </w:tc>
        <w:tc>
          <w:tcPr>
            <w:tcW w:w="1260" w:type="dxa"/>
            <w:vAlign w:val="bottom"/>
          </w:tcPr>
          <w:p>
            <w:pPr>
              <w:jc w:val="center"/>
              <w:ind w:left="240"/>
              <w:spacing w:after="0"/>
              <w:rPr>
                <w:sz w:val="20"/>
                <w:szCs w:val="20"/>
                <w:color w:val="auto"/>
              </w:rPr>
            </w:pPr>
            <w:r>
              <w:rPr>
                <w:rFonts w:ascii="Arial" w:cs="Arial" w:eastAsia="Arial" w:hAnsi="Arial"/>
                <w:sz w:val="14"/>
                <w:szCs w:val="14"/>
                <w:b w:val="1"/>
                <w:bCs w:val="1"/>
                <w:color w:val="auto"/>
                <w:w w:val="94"/>
              </w:rPr>
              <w:t>portion)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effectiveness testing)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60" w:type="dxa"/>
            <w:vAlign w:val="bottom"/>
          </w:tcPr>
          <w:p>
            <w:pPr>
              <w:jc w:val="right"/>
              <w:ind w:right="10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8"/>
                <w:szCs w:val="18"/>
                <w:b w:val="1"/>
                <w:bCs w:val="1"/>
                <w:color w:val="auto"/>
              </w:rPr>
              <w:t>Note F —Notes Payable</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5"/>
          </w:tcPr>
          <w:p>
            <w:pPr>
              <w:jc w:val="right"/>
              <w:ind w:right="952"/>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0"/>
        </w:trPr>
        <w:tc>
          <w:tcPr>
            <w:tcW w:w="7580" w:type="dxa"/>
            <w:vAlign w:val="bottom"/>
            <w:gridSpan w:val="5"/>
          </w:tcPr>
          <w:p>
            <w:pPr>
              <w:ind w:left="40"/>
              <w:spacing w:after="0"/>
              <w:rPr>
                <w:sz w:val="20"/>
                <w:szCs w:val="20"/>
                <w:color w:val="auto"/>
              </w:rPr>
            </w:pPr>
            <w:r>
              <w:rPr>
                <w:rFonts w:ascii="Arial" w:cs="Arial" w:eastAsia="Arial" w:hAnsi="Arial"/>
                <w:sz w:val="18"/>
                <w:szCs w:val="18"/>
                <w:color w:val="auto"/>
                <w:w w:val="97"/>
              </w:rPr>
              <w:t>Unsecured notes, net of discount, interest payable semi-annually at 5.50%, due September 2022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280" w:type="dxa"/>
            <w:vAlign w:val="bottom"/>
            <w:gridSpan w:val="2"/>
          </w:tcPr>
          <w:p>
            <w:pPr>
              <w:jc w:val="right"/>
              <w:ind w:right="79"/>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7580" w:type="dxa"/>
            <w:vAlign w:val="bottom"/>
            <w:gridSpan w:val="5"/>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0"/>
              </w:rPr>
              <w:t>Unsecured convertible notes, net of discount, interest payable semi-annually at 4.25%, due August 2018</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7580" w:type="dxa"/>
            <w:vAlign w:val="bottom"/>
            <w:gridSpan w:val="5"/>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w w:val="93"/>
              </w:rPr>
              <w:t>Unsecured Black Knight Infoserv notes, including premium, interest payable semi-annually at 5.75%, due April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gridSpan w:val="8"/>
          </w:tcPr>
          <w:p>
            <w:pPr>
              <w:ind w:left="40"/>
              <w:spacing w:after="0"/>
              <w:rPr>
                <w:sz w:val="20"/>
                <w:szCs w:val="20"/>
                <w:color w:val="auto"/>
              </w:rPr>
            </w:pPr>
            <w:r>
              <w:rPr>
                <w:rFonts w:ascii="Arial" w:cs="Arial" w:eastAsia="Arial" w:hAnsi="Arial"/>
                <w:sz w:val="18"/>
                <w:szCs w:val="18"/>
                <w:color w:val="auto"/>
                <w:w w:val="91"/>
              </w:rPr>
              <w:t>Revolving Credit Facility, unsecured, unused portion of $700 at September 30, 2014, due July 2018 with interest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2"/>
          </w:tcPr>
          <w:p>
            <w:pPr>
              <w:ind w:left="40"/>
              <w:spacing w:after="0"/>
              <w:rPr>
                <w:sz w:val="20"/>
                <w:szCs w:val="20"/>
                <w:color w:val="auto"/>
              </w:rPr>
            </w:pPr>
            <w:r>
              <w:rPr>
                <w:rFonts w:ascii="Arial" w:cs="Arial" w:eastAsia="Arial" w:hAnsi="Arial"/>
                <w:sz w:val="18"/>
                <w:szCs w:val="18"/>
                <w:color w:val="auto"/>
                <w:w w:val="99"/>
              </w:rPr>
              <w:t>payable monthly at LIBOR + 1.45% (1.60% at September 30, 2014 )</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1"/>
              </w:rPr>
              <w:t>FNF Term Loan, interest payable monthly at LIBOR + 1.75% (1.90% at September 30, 2014), due January 2019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gridSpan w:val="8"/>
          </w:tcPr>
          <w:p>
            <w:pPr>
              <w:ind w:left="40"/>
              <w:spacing w:after="0"/>
              <w:rPr>
                <w:sz w:val="20"/>
                <w:szCs w:val="20"/>
                <w:color w:val="auto"/>
              </w:rPr>
            </w:pPr>
            <w:r>
              <w:rPr>
                <w:rFonts w:ascii="Arial" w:cs="Arial" w:eastAsia="Arial" w:hAnsi="Arial"/>
                <w:sz w:val="18"/>
                <w:szCs w:val="18"/>
                <w:color w:val="auto"/>
                <w:w w:val="97"/>
              </w:rPr>
              <w:t>Remy Amended and Restated Term B Loan, interest payable quarterly at LIBOR (floor of 1.25%) + 3.00%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(4.25% at September 30, 2014), due March 2020</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w w:val="91"/>
              </w:rPr>
              <w:t>Remy Revolving Credit Facility, unused portion of $57 at September 30, 2014, due September 2018 with interest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payable monthly at base rate 3.25% + base rate margin .50% (3.75% at September 30, 2014)</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w w:val="95"/>
              </w:rPr>
              <w:t>ABRH Term Loan, interest payable monthly at LIBOR + 3.50%</w:t>
            </w: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w w:val="95"/>
              </w:rPr>
              <w:t>ABRH Term Loan, interest payable monthly at LIBOR + 2.75% (2.90% at September 30, 2014), due August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gridSpan w:val="8"/>
          </w:tcPr>
          <w:p>
            <w:pPr>
              <w:ind w:left="40"/>
              <w:spacing w:after="0"/>
              <w:rPr>
                <w:sz w:val="20"/>
                <w:szCs w:val="20"/>
                <w:color w:val="auto"/>
              </w:rPr>
            </w:pPr>
            <w:r>
              <w:rPr>
                <w:rFonts w:ascii="Arial" w:cs="Arial" w:eastAsia="Arial" w:hAnsi="Arial"/>
                <w:sz w:val="18"/>
                <w:szCs w:val="18"/>
                <w:color w:val="auto"/>
                <w:w w:val="94"/>
              </w:rPr>
              <w:t>ABRH Revolving Credit Facility, unused portion of $64 at September 30, 2014, due August 2019 with interest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w w:val="91"/>
              </w:rPr>
              <w:t>payable monthly LIBOR + 2.75% (2.90% at September 30, 2014)</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w w:val="94"/>
              </w:rPr>
              <w:t>ABRH Revolving Credit Facility, unused portion of $64 at September 30, 2014, due August 2019 with interest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9"/>
              </w:rPr>
              <w:t>payable monthly at base rate 3.25% + base rate margin 1.75% (5.00% at September 30, 2014)</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2014, the estimated fair value of our long-term debt was approximately $3,474 million or $234 million higher than its carrying value. The fair value of our long-term debt at December 31, 2013 was approximately $1,555 million or $232 million higher than its carrying value. The fair value of our unsecured notes payable was $1,869 million as of September 30, 2014. The fair values of our unsecured notes payable are based on established market prices for the securities on September 30,</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2014 and are considered Level 2 financial liabilities. The carrying value of the FNF, ABRH and Remy revolving credit facilities approximates fair value at September 30, 2014, as the FNF and Remy facilities carry a variable interest rate and the ABRH facility was entered into during the third quarter of 2014. The revolving credit facilities are considered Level 2 financial liabilities. The fair value of our FNF Term Loan was $1,100 million at September 30, 2014. The fair value of our FNF Term Loan is based on established market prices for the loan on September 30, 2014 and is considered a Level 2 financial liability. The fair value of our Remy Term Loan was $265 million based on established market prices for the loan on September 30, 2014 and is considered a Level 2 financial liability. The carrying value of our Restaurant Group Term Loan was $110 million on September 30, 2014, and approximates fair value as the loan was entered into during the third quarter of 2014. The Restaurant Group Term Loan is considered a Level 2 financial liability.</w:t>
      </w:r>
    </w:p>
    <w:p>
      <w:pPr>
        <w:spacing w:after="0" w:line="16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 revolving loan of $100 million (the “ABRH Revolver") with a maturity date of August 19, 2019. As of September 30, 2014, ABRH has borrowed $19 million under such term loan.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ABRH has borrowed the entire $110 million under this term loan. Pricing for the ABRH Credit Facility is based on an applicable margin between 225 basis points to 300 basis points over LIBOR and between 125 basis points and 200 basis points over the Base Rate (which is the highest of (a) 50 basis points in excess of the federal funds rate, (b) the ABRH Administrative Agent “prime rate,” or (c) the sum of 100 basis points plus one-month LIBOR). A commitment fee amount is also due at a rate per annum equal to between 325 and 400 basis points on the average daily unused portion of the commitments under the ABRH Revolver. The ABRH Credit Facility also allows for ABRH to request up to $40 million of letters of credit commitments and $20 million in swingline debt from the ABRH Administrative Agent. The ABRH Credit Facility allows for ABRH to elect to enter into incremental term loans or request incremental revolving commitments (the “ABRH Incremental Loans”) under this facility so long as, (i) the total outstanding balance of the ABRH Revolver, the ABRH Term Loan and any ABRH Incremental Loans does not exceed $250 million, (ii) ABRH is in compliance with its financial covenants, (iii) no default or event of default exists under the ABRH Credit Facility on the day of such request either before or after giving effect to the request, (iv) the representations and warranties made under the ABRH Credit Facility are correct and (v) certain other conditions are satisfied. The ABRH Credit Facility is subject to affirmative, negative and financial covenants customary for financings of this type, including, among other things, limits on ABRH 's creation of liens, sales of assets, incurrence of indebtedness, restricted payments and transactions with affiliates. The covenants addressing restricted payments include certain limitations on the declaration or payment of dividends by ABRH to its parent, Fidelity Newport Holdings, LLC (“FNH”), and by FNH to its members. One such limitation restricts the amount of dividends that ABRH can pay to its parent (and that FNH can in turn pay to its members) up to $2 million in the aggregate (outside of certain other permitted dividend payments) in a fiscal year (with some carryover rights for undeclared dividends for subsequent years). Another limitation allows that, so long as ABRH satisfies certain leverage and liquidity requirements to the satisfaction of the ABRH Administrative Agent, ABRH may declare a special one-time dividend to Newport Global Opportunities Fund LP, and Fidelity National Financial Ventures, LLC or one of the entities under their control (other than portfolio companies) in an amount up to $75 million if such dividend occurs on or before November 17, 2014, or up to $1.5 million if such dividend occurs on or before June 15, 2016. The ABRH Credit Facility includes customary events of default for facilities of this type (with customary grace periods, as applicable), which 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 (i) 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ABRH had $17 million of outstanding letters of credit and $64 million of remaining borrowing capacity under our revolving credit facility as of September 30, 2014.</w:t>
      </w: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2023, initially issued by Black Knight Infoserv, LLC (formerly LPS, "Black Knight Infoserv")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At any time and from time to time, prior to October 15, 2015, Black Knight Infoserv may redeem up to a maximum of 35% of the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original aggregate principal amount of the Black Knight Senior Notes with the proceeds of one or more equity offerings, at a redemption price equal to 105.75% of the principal amount thereof, plus accrued and unpaid interest thereon, if any, to the redemption date (subject to the right of holders of record on the relevant record date to receive interest due on the relevant interest payment date). Prior to October 15, 2017, Black Knight Infoserv may redeem some or all of the Black Knight Senior Notes by paying a “make-whole” premium based on U.S. Treasury rates. On or after October 15, 2017, Black Knight Infoserv may redeem some or all of the Black Knight Senior Notes at the redemption prices described in the Black Knight Senior Notes indenture, plus accrued and unpaid interest. In addition, if a change of control occurs, Black Knight Infoserv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Black Knight Infoserv's ability and the ability of certain of its subsidiaries (a) to incur or guarantee additional indebtedness or issue preferred stock, (b) to make certain restricted payments, including dividends or distributions on equity interests held by persons other than Black Knight Infoserv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Black Knight Infoserv or certain other subsidiaries, (ii) repay any debt or make any loans or advances to Black Knight Infoserv or certain other subsidiaries or (iii) transfer any property or assets to Black Knight Infoserv or certain other subsidiaries, (f) to sell or dispose of assets of Black Knight Infoserv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w:t>
      </w:r>
    </w:p>
    <w:p>
      <w:pPr>
        <w:spacing w:after="0" w:line="13" w:lineRule="exact"/>
        <w:rPr>
          <w:sz w:val="20"/>
          <w:szCs w:val="20"/>
          <w:color w:val="auto"/>
        </w:rPr>
      </w:pPr>
    </w:p>
    <w:p>
      <w:pPr>
        <w:jc w:val="both"/>
        <w:ind w:firstLine="8"/>
        <w:spacing w:after="0" w:line="267" w:lineRule="auto"/>
        <w:tabs>
          <w:tab w:leader="none" w:pos="239" w:val="left"/>
        </w:tabs>
        <w:numPr>
          <w:ilvl w:val="0"/>
          <w:numId w:val="6"/>
        </w:numPr>
        <w:rPr>
          <w:rFonts w:ascii="Arial" w:cs="Arial" w:eastAsia="Arial" w:hAnsi="Arial"/>
          <w:sz w:val="17"/>
          <w:szCs w:val="17"/>
          <w:color w:val="auto"/>
        </w:rPr>
      </w:pPr>
      <w:r>
        <w:rPr>
          <w:rFonts w:ascii="Arial" w:cs="Arial" w:eastAsia="Arial" w:hAnsi="Arial"/>
          <w:sz w:val="17"/>
          <w:szCs w:val="17"/>
          <w:color w:val="auto"/>
        </w:rPr>
        <w:t>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Black Knight Infoserv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Black Knight Infoserv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Black Knight Infoserv or certain subsidiaries), the trustee or holders of at least 25% of the Black Knight Senior Notes then outstanding may accelerate the Black Knight Senior Notes by giving us appropriate notice. If, however, a bankruptcy default occurs with respect to Black Knight Infoserv or certain subsidiaries, then the principal of and accrued interest on the Black Knight Senior Notes then outstanding will accelerate immediately without any declaration or other act on the part of the trustee or any holder. Subsequent to year end,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24, 2013, FNF entered into a bridge loan commitment letter (the “Bridge Loan Commitment Letter”) with Merrill Lynch, Pierce, Fenner &amp; Smith Incorporated, Bank of America, N.A. (“Bank of America”), J.P. Morgan Securities LLC and JP Morgan Chase Bank, N.A. The Bridge Loan Commitment Letter provided for up to an $800 million short-term loan facility (the “Bridge Facility”). The proceeds of the loans under the Bridge Facility were used to fund, in part, the cash consideration for the acquisition of LPS and pay certain costs, fees and expenses in connection with the LPS merger. Pursuant to the Bridge Loan Commitment Letter, we executed a promissory note in favor of the Bridge Facility lenders on the closing date of the Merger that evidenced the terms of the Bridge Facility. The Bridge Facility matured on the second business day following the funding thereof and required scheduled amortization payments. Borrowings under the Bridge Facility bear interest at a rate equal to the highest of (i) the Bank of America prime rate, (ii) the federal fund effective rate from time to time plus 0.5% and (iii) the one month adjusted London interbank offered rate ("LIBOR") plus 1.0%. Other than as set forth in this paragraph, the terms of the Bridge Facility are substantially the same as the terms of the Term Loan Agreement discussed below. As part of the acquisition of LPS on January 2, 2014, the Bridge Facility was funded and subsequently repaid the following day.</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Agreement. Term loans under the Term Loan Agreement generally bear interest at a variable rate based on either (i) the base rate (which is the highest of</w:t>
      </w:r>
    </w:p>
    <w:p>
      <w:pPr>
        <w:spacing w:after="0" w:line="46" w:lineRule="exact"/>
        <w:rPr>
          <w:sz w:val="20"/>
          <w:szCs w:val="20"/>
          <w:color w:val="auto"/>
        </w:rPr>
      </w:pPr>
    </w:p>
    <w:p>
      <w:pPr>
        <w:jc w:val="both"/>
        <w:ind w:firstLine="8"/>
        <w:spacing w:after="0" w:line="285" w:lineRule="auto"/>
        <w:tabs>
          <w:tab w:leader="none" w:pos="248" w:val="left"/>
        </w:tabs>
        <w:numPr>
          <w:ilvl w:val="0"/>
          <w:numId w:val="7"/>
        </w:numPr>
        <w:rPr>
          <w:rFonts w:ascii="Arial" w:cs="Arial" w:eastAsia="Arial" w:hAnsi="Arial"/>
          <w:sz w:val="16"/>
          <w:szCs w:val="16"/>
          <w:color w:val="auto"/>
        </w:rPr>
      </w:pPr>
      <w:r>
        <w:rPr>
          <w:rFonts w:ascii="Arial" w:cs="Arial" w:eastAsia="Arial" w:hAnsi="Arial"/>
          <w:sz w:val="16"/>
          <w:szCs w:val="16"/>
          <w:color w:val="auto"/>
        </w:rPr>
        <w:t>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175 basis points over LIBOR.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Revolving Credit Facility. On October 27, 2013, we amended the Term Loan Agreement to permit us to incur the indebtedness in respect of the Bridge Facility and incorporate technical changes to describe the structure of the LPS merger. As part of the acquisition of LPS on January 2, 2014, the Term Loan Agreement was fully funded.</w:t>
      </w:r>
    </w:p>
    <w:p>
      <w:pPr>
        <w:spacing w:after="0" w:line="6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amends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0.5% in excess of the federal funds rate, (b) the Administrative Agent's “prime rate”, or (c) the sum of 1.0%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Existing Credit Agreement, except that the total debt to total capitalization ratio limit of 35% will increase to 37.5% for a period of one year after the closing of the LPS acquisition and the net worth test was reset. Also on October 24, 2013, FNF entered into amendments to amend the Revolving Credit Facility to permit us to incur the indebtedness in respect of the Bridge Facility and incorporate other technical changes to describe the structure of the LPS merger. As of September 30, 2014, there was $100 million outstanding balance under the Revolving Credit Facility. During the three and nine months ending September 30, 2014, we repaid $200 million on the Revolving Credit Facility.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held by Remy. Remy will incur an unused commitment fee of 0.375% on the unused amount of commitments under the Remy Credit Facility First Amendment. At September 30, 2014, the Remy Credit Facility balance was $20 million. Based upon the collateral supporting the Remy Credit Facility, the amount borrowed, and the outstanding letters of credit of $14 million, there was additional availability for borrowing of $57 million on September 30, 2014. The Remy Credit Facility contains various restrictive covenants, which include, among other things: (i) a maximum leverage ratio, decreasing over the term of the facility; (ii) a minimum interest coverage ratio, increasing over the term of the facility; (iii) mandatory prepayments upon certain asset sales and debt issuances; (iv) requirements for minimum liquidity; and (v) limitations on the payment of dividends in excess of a specified amount. During the three months ended September 30, 2014, Remy borrowed $43 million and repaid $23 million under this facility. During the nine months ended September 30, 2014, Remy borrowed $52 million and repaid $32 million under this facility.</w:t>
      </w:r>
    </w:p>
    <w:p>
      <w:pPr>
        <w:spacing w:after="0" w:line="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Amendment now bears interest paid quarterly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Amendment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Amendment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 accelerate its maturity. Remy is in compliance with all covenants as of September 30, 2014. The Term B Loan is subject to an excess cash calculation which may require the payment of additional principal on an annual basis. At September 30, 2014, the average borrowing rate, including the impact of the interest rate swaps, was 4.25%.</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FNF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and $50 million outstanding on our revolving credit facility, with the remainder being used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 million ("the ABRH Revolver") with a maturity date of May 31, 2017. Additionally, the ABRH Credit Facility provides for a maximum term loan ("ABRH Term Loan") of $85 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and one such limitation restricts the amount of dividends that ABRH can pay to its parent (and that FNH can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turn pay to its members) to $5 million in the aggregate (outside of certain other permitted dividend payments) in fiscal year 2012 (with varying amounts for subsequent years). The ABRH Credit Facility includes customary events of default for 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$0.75 million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During the three and nine months ended September 30, 2014, ABRH did not borrow under this facility and repaid $54 million on this facility.</w:t>
      </w:r>
    </w:p>
    <w:p>
      <w:pPr>
        <w:spacing w:after="0" w:line="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FNF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On March 28, 2014, $42 thousand in principal of these bonds were converted at the election of the bondholder. These bonds had a fair value of $65 thousand. The conversion was completed in the second quarter of 2014.</w:t>
      </w:r>
    </w:p>
    <w:p>
      <w:pPr>
        <w:spacing w:after="0" w:line="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has revolving credit facilities with three Korean banks with a total facility amount of approximately $12 million, of which $2 million is borrowed at average interest rates of 3.16% at September 30, 2014. In Hungary, there is one revolving credit facility with one bank for a total facility amount of $1 million, of which nothing is borrowed at September 30, 2014. Remy also has a revolving credit facility in China with one bank for a total credit facility of $10 million, of which $5 million was borrowed at an average interest rate of 4.15% at September 30, 2014. During the three-months ended September 30, 2014, Remy did not borrow or repay any amounts under this facility. During the nine-months ended September 30, 2014, Remy borrowed $5 million under this facility, and did not make any repayments.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5, 2010, FNF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September 30, 2014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2014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656</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3,238</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matters discussed below, depart from customary litigation incidental to our insurance business.</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intellectual property and other matters.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action claims alleging violation of federal and state wage and hour and other employment laws,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$92 million as of September 30, 2014 and $9 million as of December 31, 2013. Of this accrual, $75 million relates to historical LPS matters. As discussed elsewhere, LPS was acquired on January 2,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a review by the Board of Governors of the Federal Reserve System, the Federal Deposit Insurance Corporation, the Office of the Comptroller of the Currency and the Office of Thrift Supervision (collectively, the “banking agencies”), LPS entered into a consent order (the “Order”) dated April 13, 2011 with the banking agencies. The banking agencies' review of LPS' services included the services provided by its default operations to mortgage servicers regulated by the banking agencies, including document execution services. The Order does not make any findings of fact or conclusions of wrongdoing, nor does LPS admit any fault or liability. Under the Order, LPS agreed to further study the issues identified in the review and to enhance its compliance, internal audit, risk management and board oversight plans with respect to those businesses. LPS also agreed to engage an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independent third party to conduct a risk assessment and review of its default management businesses and the document execution services we provided to servicers from January 1, 2008 through December 31, 2010. The document execution review by the independent third party is likely to take longer than previously anticipated. LPS accrued for the additional fees and costs expected to be charged by the independent third party to complete the review. To the extent such review, once completed, requires additional remediation of mortgage documents or identifies any financial injury from the document execution services LPS provided, LPS agreed to implement an appropriate plan to address the issues. The Order contains various deadlines by which LPS has agreed to accomplish the undertakings set forth therein, including the preparation of a remediation plan following the completion of the document execution review. LPS agreed and we will continue to make periodic reports to the banking agencies on our progress with respect to each of the undertakings in the Order. The Order does not include any fine or other monetary penalty, although the banking agencies have not yet concluded their assessment of whether any civil monetary penalties may be imposed. We have accrued for estimated losses expected to be paid for this matter in our legal and regulatory accrual.</w:t>
      </w:r>
    </w:p>
    <w:p>
      <w:pPr>
        <w:spacing w:after="0" w:line="14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December 16, 2013, LPS received notice that Merion Capital, L.P. and Merion Capital II, L.P. (together "Merion Capital") were asserting their appraisal right relative to their ownership of 5,682,276 shares of LPS stock in connection with our acquisition of LPS. On February 6, 2014, </w:t>
      </w:r>
      <w:r>
        <w:rPr>
          <w:rFonts w:ascii="Arial" w:cs="Arial" w:eastAsia="Arial" w:hAnsi="Arial"/>
          <w:sz w:val="17"/>
          <w:szCs w:val="17"/>
          <w:i w:val="1"/>
          <w:iCs w:val="1"/>
          <w:color w:val="auto"/>
        </w:rPr>
        <w:t>Merion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LP and Merion Capital II, LP v. Lender Processing Services, Inc. n/k/a Black Knight InfoServ, LLC ("LPS"), </w:t>
      </w:r>
      <w:r>
        <w:rPr>
          <w:rFonts w:ascii="Arial" w:cs="Arial" w:eastAsia="Arial" w:hAnsi="Arial"/>
          <w:sz w:val="17"/>
          <w:szCs w:val="17"/>
          <w:color w:val="auto"/>
        </w:rPr>
        <w:t>C.A. No. 9320-VCL, was filed in the Court of</w:t>
      </w:r>
      <w:r>
        <w:rPr>
          <w:rFonts w:ascii="Arial" w:cs="Arial" w:eastAsia="Arial" w:hAnsi="Arial"/>
          <w:sz w:val="17"/>
          <w:szCs w:val="17"/>
          <w:i w:val="1"/>
          <w:iCs w:val="1"/>
          <w:color w:val="auto"/>
        </w:rPr>
        <w:t xml:space="preserve"> </w:t>
      </w:r>
      <w:r>
        <w:rPr>
          <w:rFonts w:ascii="Arial" w:cs="Arial" w:eastAsia="Arial" w:hAnsi="Arial"/>
          <w:sz w:val="17"/>
          <w:szCs w:val="17"/>
          <w:color w:val="auto"/>
        </w:rPr>
        <w:t>Chancery in Delaware seeking seeking a judicial determination of the "fair" value of Merion Capital's 5,682,276 shares of LPS common stock under Delaware law (the “Appraisal Shares”), together with statutory interest. We filed an answer to this suit on March 3, 2014, and discovery is ongoing. On August 26, 2014, we filed a motion to pay the merger consideration to Merion Capital and stop the accrual of additional statutory interest during the pendency of the appraisal proceeding. On September 18, 2014, we reached an agreement with Merion Capital to resolve the interest motion and Merion Capital received the merger consideration, approximately 1.6 million shares of common stock and approximately $160 million in cash, which was previously held in escrow for Merion Capital, in respect of the Merion Appraisal Shares, together with interest of approximately $9 million through the date of payment. Due to the early stages of the case, we are unable to estimate a range of loss, if any, at this time. We will continue to vigorously defend against the appraisal proceedings; however, we do not believe the result will have a material impact to us.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2008, Remy filed suit against Tecnomatic in the U.S. District Court, Southern District of Indiana, Indianapolis Division (Civil Action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1:08-CV-1227-SEB-JMS), titled </w:t>
      </w:r>
      <w:r>
        <w:rPr>
          <w:rFonts w:ascii="Arial" w:cs="Arial" w:eastAsia="Arial" w:hAnsi="Arial"/>
          <w:sz w:val="16"/>
          <w:szCs w:val="16"/>
          <w:i w:val="1"/>
          <w:iCs w:val="1"/>
          <w:color w:val="auto"/>
        </w:rPr>
        <w:t>Remy, Inc. v. Tecnomatic S.p.A.</w:t>
      </w:r>
      <w:r>
        <w:rPr>
          <w:rFonts w:ascii="Arial" w:cs="Arial" w:eastAsia="Arial" w:hAnsi="Arial"/>
          <w:sz w:val="16"/>
          <w:szCs w:val="16"/>
          <w:color w:val="auto"/>
        </w:rPr>
        <w:t xml:space="preserve"> for breach of contract, among other claims, with respect to a machine Tecnomatic sold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Remy to build an engine component. In March 2011, Tecnomatic filed a lawsuit in U.S. District Court, N.D. of Illinois, against Remy, its Mexican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subsidiaries and two other entities alleging breach of contract and the misappropriation of trade secrets, and requested damages of $110 million.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2014, Remy announced entry into a Settlement Agreement and Mutual General Release (the "Agreement") to settle all disputes that existed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Remy and Tecnomatic. In addition, Remy entered into a cross licensing arrangement of certain patents with Tecnomatic. The value of the patents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from Tecnomatic is approximately $14 million. Pursuant to the Agreement and the cross licensing arrangement, Remy paid to Tecnomatic a $16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cash payment in September 2014 and will pay a $16 million cash payment on or before March 15, 2015. Amounts remaining to be paid have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accrued in our legal and regulatory accrual during the quarter.</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0160" w:type="dxa"/>
            <w:vAlign w:val="bottom"/>
            <w:gridSpan w:val="2"/>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42"/>
        </w:trPr>
        <w:tc>
          <w:tcPr>
            <w:tcW w:w="1360" w:type="dxa"/>
            <w:vAlign w:val="bottom"/>
            <w:tcBorders>
              <w:top w:val="single" w:sz="8" w:color="0000EE"/>
            </w:tcBorders>
          </w:tcPr>
          <w:p>
            <w:pPr>
              <w:spacing w:after="0"/>
              <w:rPr>
                <w:sz w:val="24"/>
                <w:szCs w:val="24"/>
                <w:color w:val="auto"/>
              </w:rPr>
            </w:pPr>
          </w:p>
        </w:tc>
        <w:tc>
          <w:tcPr>
            <w:tcW w:w="8800" w:type="dxa"/>
            <w:vAlign w:val="bottom"/>
          </w:tcPr>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88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NOTES TO CONDENSED CONSOLIDATED FINANCIAL STATEMENTS (UNAUDITED) — continued</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75"/>
        </w:trPr>
        <w:tc>
          <w:tcPr>
            <w:tcW w:w="10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10160" w:type="dxa"/>
            <w:vAlign w:val="bottom"/>
            <w:gridSpan w:val="2"/>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 (remaining)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1360" w:type="dxa"/>
            <w:vAlign w:val="bottom"/>
          </w:tcPr>
          <w:p>
            <w:pPr>
              <w:ind w:left="40"/>
              <w:spacing w:after="0"/>
              <w:rPr>
                <w:sz w:val="20"/>
                <w:szCs w:val="20"/>
                <w:color w:val="auto"/>
              </w:rPr>
            </w:pPr>
            <w:r>
              <w:rPr>
                <w:rFonts w:ascii="Arial" w:cs="Arial" w:eastAsia="Arial" w:hAnsi="Arial"/>
                <w:sz w:val="18"/>
                <w:szCs w:val="18"/>
                <w:color w:val="auto"/>
              </w:rPr>
              <w:t>2015</w:t>
            </w:r>
          </w:p>
        </w:tc>
        <w:tc>
          <w:tcPr>
            <w:tcW w:w="8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13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1360" w:type="dxa"/>
            <w:vAlign w:val="bottom"/>
          </w:tcPr>
          <w:p>
            <w:pPr>
              <w:ind w:left="40"/>
              <w:spacing w:after="0"/>
              <w:rPr>
                <w:sz w:val="20"/>
                <w:szCs w:val="20"/>
                <w:color w:val="auto"/>
              </w:rPr>
            </w:pPr>
            <w:r>
              <w:rPr>
                <w:rFonts w:ascii="Arial" w:cs="Arial" w:eastAsia="Arial" w:hAnsi="Arial"/>
                <w:sz w:val="18"/>
                <w:szCs w:val="18"/>
                <w:color w:val="auto"/>
              </w:rPr>
              <w:t>2017</w:t>
            </w:r>
          </w:p>
        </w:tc>
        <w:tc>
          <w:tcPr>
            <w:tcW w:w="8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13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136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0"/>
        </w:trPr>
        <w:tc>
          <w:tcPr>
            <w:tcW w:w="136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28, 2014, our Board of Directors declared cash dividends of $0.19 per share, payable on December 31, 2014, to FNF Group common shareholders of record as of December 17,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 Information</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Summarized financial information concerning our reportable segments is shown in the following tables. During the fourth quarter of 2013, we determined that the Corporate and Other segment would be split in order to differentiate operations and costs related to our FNF Core businesses from those associated with FNFV. As a result, we reorganized our reporting segments to reflect this change. On January 2, 2014, we acquired LPS. As a result we have a new segment, BKFS, which contains the technology, data and analytics operations of the former LPS company. We have combined the acquired transaction services business of LPS with our existing ServiceLink operations which reside in the Title segment. There are several intercompany corporate related arrangements between our various FNF Core businesses. The effects of these arrangements including intercompany notes and related interest and any other non-operational intercompany revenues and expenses have been eliminated in the segment presentations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8"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FNF Core</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BKFS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FNFV</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ind w:left="28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993</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708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735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2,361</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4"/>
              </w:rPr>
              <w:t>Interest and investment income (loss),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including realized gains and losses</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1,726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2,383</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income taxes and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equity in earnings (loss) of</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154</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equity in earnings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108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109</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21"/>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8,393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12,026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2,778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14,775</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4,474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4,957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FNF Core</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3"/>
                <w:szCs w:val="13"/>
                <w:color w:val="auto"/>
              </w:rPr>
            </w:pPr>
          </w:p>
        </w:tc>
        <w:tc>
          <w:tcPr>
            <w:tcW w:w="5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6"/>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Remy</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3"/>
              </w:rPr>
              <w:t>Group</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4"/>
          </w:tcPr>
          <w:p>
            <w:pPr>
              <w:ind w:left="8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1,102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415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437</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336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336</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2,141</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4"/>
              </w:rPr>
              <w:t>Interest and investment income (loss), including realized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88"/>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gains and 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624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2,174</w:t>
            </w: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 operations, before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color w:val="auto"/>
              </w:rPr>
              <w:t>income taxes and equity in earnings (loss)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176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37"/>
        </w:trPr>
        <w:tc>
          <w:tcPr>
            <w:tcW w:w="334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 operations, before</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110</w:t>
            </w: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114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2,598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10,077</w:t>
            </w:r>
          </w:p>
        </w:tc>
        <w:tc>
          <w:tcPr>
            <w:tcW w:w="0" w:type="dxa"/>
            <w:vAlign w:val="bottom"/>
          </w:tcPr>
          <w:p>
            <w:pPr>
              <w:spacing w:after="0"/>
              <w:rPr>
                <w:sz w:val="1"/>
                <w:szCs w:val="1"/>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1,437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1,894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FNF Core</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BKFS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FNFV</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ind w:left="28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2,699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2,699</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2,097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892</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1,055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1,055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1,055</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4,093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4,714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2,029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6,743</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4"/>
              </w:rPr>
              <w:t>Interest and investment income (loss),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including realized gains and losses</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4,182</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4,802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893</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1,054</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2,029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6,831</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253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305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income taxes and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equity in earnings (loss) of</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239</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equity in earnings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117</w:t>
            </w:r>
          </w:p>
        </w:tc>
        <w:tc>
          <w:tcPr>
            <w:tcW w:w="0" w:type="dxa"/>
            <w:vAlign w:val="bottom"/>
          </w:tcPr>
          <w:p>
            <w:pPr>
              <w:spacing w:after="0"/>
              <w:rPr>
                <w:sz w:val="1"/>
                <w:szCs w:val="1"/>
                <w:color w:val="auto"/>
              </w:rPr>
            </w:pPr>
          </w:p>
        </w:tc>
      </w:tr>
      <w:tr>
        <w:trPr>
          <w:trHeight w:val="221"/>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8,393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12,026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2,778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14,775</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4,474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4,957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FNF Core</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3"/>
                <w:szCs w:val="13"/>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6"/>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3,156</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1,299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1,361</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834</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1,037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1"/>
              </w:rPr>
              <w:t>1,037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1,037</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4,455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1,933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6,388</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Interest and investment income (loss), including</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109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realized gains and losses</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4,529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4,564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1,930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6,494</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 operations, before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0"/>
              <w:spacing w:after="0" w:line="149" w:lineRule="exact"/>
              <w:rPr>
                <w:sz w:val="20"/>
                <w:szCs w:val="20"/>
                <w:color w:val="auto"/>
              </w:rPr>
            </w:pPr>
            <w:r>
              <w:rPr>
                <w:rFonts w:ascii="Arial" w:cs="Arial" w:eastAsia="Arial" w:hAnsi="Arial"/>
                <w:sz w:val="14"/>
                <w:szCs w:val="14"/>
                <w:color w:val="auto"/>
              </w:rPr>
              <w:t>income taxes and equity in earnings (loss) of</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545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522</w:t>
            </w:r>
          </w:p>
        </w:tc>
        <w:tc>
          <w:tcPr>
            <w:tcW w:w="0" w:type="dxa"/>
            <w:vAlign w:val="bottom"/>
          </w:tcPr>
          <w:p>
            <w:pPr>
              <w:spacing w:after="0"/>
              <w:rPr>
                <w:sz w:val="1"/>
                <w:szCs w:val="1"/>
                <w:color w:val="auto"/>
              </w:rPr>
            </w:pPr>
          </w:p>
        </w:tc>
      </w:tr>
      <w:tr>
        <w:trPr>
          <w:trHeight w:val="188"/>
        </w:trPr>
        <w:tc>
          <w:tcPr>
            <w:tcW w:w="320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37"/>
        </w:trPr>
        <w:tc>
          <w:tcPr>
            <w:tcW w:w="32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 operations, before</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348</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352</w:t>
            </w:r>
          </w:p>
        </w:tc>
        <w:tc>
          <w:tcPr>
            <w:tcW w:w="0" w:type="dxa"/>
            <w:vAlign w:val="bottom"/>
          </w:tcPr>
          <w:p>
            <w:pPr>
              <w:spacing w:after="0"/>
              <w:rPr>
                <w:sz w:val="1"/>
                <w:szCs w:val="1"/>
                <w:color w:val="auto"/>
              </w:rPr>
            </w:pPr>
          </w:p>
        </w:tc>
      </w:tr>
      <w:tr>
        <w:trPr>
          <w:trHeight w:val="188"/>
        </w:trPr>
        <w:tc>
          <w:tcPr>
            <w:tcW w:w="3200" w:type="dxa"/>
            <w:vAlign w:val="bottom"/>
          </w:tcPr>
          <w:p>
            <w:pPr>
              <w:ind w:left="40"/>
              <w:spacing w:after="0"/>
              <w:rPr>
                <w:sz w:val="20"/>
                <w:szCs w:val="20"/>
                <w:color w:val="auto"/>
              </w:rPr>
            </w:pPr>
            <w:r>
              <w:rPr>
                <w:rFonts w:ascii="Arial" w:cs="Arial" w:eastAsia="Arial" w:hAnsi="Arial"/>
                <w:sz w:val="14"/>
                <w:szCs w:val="14"/>
                <w:color w:val="auto"/>
                <w:w w:val="99"/>
              </w:rPr>
              <w:t>equity in earnings (loss) of unconsolidated affiliates</w:t>
            </w:r>
          </w:p>
        </w:tc>
        <w:tc>
          <w:tcPr>
            <w:tcW w:w="2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Equity in earnings (loss) of unconsolidated affiliates</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83"/>
        </w:trPr>
        <w:tc>
          <w:tcPr>
            <w:tcW w:w="320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352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332</w:t>
            </w:r>
          </w:p>
        </w:tc>
        <w:tc>
          <w:tcPr>
            <w:tcW w:w="0" w:type="dxa"/>
            <w:vAlign w:val="bottom"/>
          </w:tcPr>
          <w:p>
            <w:pPr>
              <w:spacing w:after="0"/>
              <w:rPr>
                <w:sz w:val="1"/>
                <w:szCs w:val="1"/>
                <w:color w:val="auto"/>
              </w:rPr>
            </w:pPr>
          </w:p>
        </w:tc>
      </w:tr>
      <w:tr>
        <w:trPr>
          <w:trHeight w:val="224"/>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6,998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7,595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2,598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10,077</w:t>
            </w:r>
          </w:p>
        </w:tc>
        <w:tc>
          <w:tcPr>
            <w:tcW w:w="0" w:type="dxa"/>
            <w:vAlign w:val="bottom"/>
          </w:tcPr>
          <w:p>
            <w:pPr>
              <w:spacing w:after="0"/>
              <w:rPr>
                <w:sz w:val="1"/>
                <w:szCs w:val="1"/>
                <w:color w:val="auto"/>
              </w:rPr>
            </w:pP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1,437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1,894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segment also includes J. Alexander's in which we have an 87% ownership interest, which also includes the Stoney River Steakhouse and Grill concept.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the Company’s Form 10-K for the year ended December 31, 2013 and other filings with the Securities and Exchange Commission.</w:t>
      </w:r>
    </w:p>
    <w:p>
      <w:pPr>
        <w:spacing w:after="0" w:line="61" w:lineRule="exact"/>
        <w:rPr>
          <w:sz w:val="20"/>
          <w:szCs w:val="20"/>
          <w:color w:val="auto"/>
        </w:rPr>
      </w:pPr>
    </w:p>
    <w:p>
      <w:pPr>
        <w:ind w:right="1400" w:firstLine="324"/>
        <w:spacing w:after="0" w:line="402"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2013. </w:t>
      </w:r>
      <w:r>
        <w:rPr>
          <w:rFonts w:ascii="Arial" w:cs="Arial" w:eastAsia="Arial" w:hAnsi="Arial"/>
          <w:sz w:val="18"/>
          <w:szCs w:val="18"/>
          <w:b w:val="1"/>
          <w:bCs w:val="1"/>
          <w:color w:val="auto"/>
        </w:rPr>
        <w:t>Overview</w:t>
      </w:r>
    </w:p>
    <w:p>
      <w:pPr>
        <w:spacing w:after="0" w:line="3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organized our business into two groups, FNF Core Operations and FNF Ventures, known as "FNFV." Through our Core operations, FNF is a leading provider of title insurance, technology and transaction services to the real estate and mortgage industries. FNF is the nation’s largest title insurance company through its title insurance underwriters - Fidelity National Title, Chicago Title, Commonwealth Land Title, Alamo Title and National Title of New York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In addition, in our FNFV group, we own majority and minority equity investment stakes in a number of entities, including American Blue Ribbon Holdings, LLC ("ABRH"), J. Alexander’s, LLC ("J. Alexander's"), Remy International, Inc. ("Remy"), Ceridian HCM, Inc. and Comdata Inc. (collectively "Ceridian") and Digital Insurance, Inc. ("Digital Insurance").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six reporting segments as follows: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 segment also includes J. Alexander's in which we have an 87% ownership interest, which also includes the Stoney River Steakhouse and Grill concept.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We did not repurchase any FNFV Group shares from November 6, 2014 through market close on November 7, 2014.</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9, 2014, we filed a draft registration statement with the Securities and Exchange Commission (“SEC”) relating to a proposed initial public offering of J. Alexander's common stock. J. Alexander's is currently presented as part of the Restaurant Group segment. The number of shares to be offered and the price range for the proposed offering have not yet been determined. The registration statement has not yet become effective. As a result shares to be registered may not be sold nor may offers to buy be accepted prior to the time when the registration statement becomes effective.</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September 7, 2014, we entered into an agreement with Remy for a transaction (the "Spin-off"). Under the Spin-off, FNFV will combine all of the 16,342,508 shares of Remy common stock that FNFV owns and a small company called Fidelity National Technology Imaging, LLC ("Imaging") into a newly-formed subsidiary ("New Remy"). New Remy will then be distributed to FNFV shareholders. Immediately following the distribution of New Remy to FNFV shareholders, New Remy and Remy will engage in a series of stock-for-stock transactions ending with a new publicly-traded holding company, New Remy Holdco ("New Holdco"). In the Spin-off, FNFV shareholders will receive an estimated total of 16,615,359 shares of New Holdco common stock, or approximately 0.18117 shares for each share of FNFV tracking stock owned. The remaining shareholders of Remy (other than New Remy) will receive an estimated total of 15,652,824 shares, or one share of New Holdco for each share of Remy owned. Remy currently has approximately 32 million shares of common stock outstanding and at the conclusion of the Spin-off, New Holdco will have approximately 32 million shares of common stock outstanding. The Spin-off should be tax-free to all existing Remy and FNFV shareholders. This structure will result in New Holdco becoming the new public parent of Remy. Under the organizational documents of New Holdco, the rights of the holders of the common stock of New Holdco will be the same as the rights of holders of Remy common stock. The Spin-off is subject to customary closing conditions, including Remy shareholder approval, which based on FNFV's ownership of Remy is assured. On October 6, 2014, New Holdco filed an initial Form S-4 registration statement with the SEC, which includes a preliminary proxy statement with respect to the foregoing shareholder vote. In addition, on October 10, 2014, New Remy filed a Form S-1 registration statement with the SEC with regard to the Spin-off. Both of these filings are subject to SEC review and comment before the Remy shareholder meeting can be set. The Spin-off is expected to close in December 2014 or in the first quarter of 2015.</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25, 2014, we acquired a 70% ownership interest in LandCastle Title ("LandCastle"), in exchange for our agreement to fund escrow shortfalls in LandCastle's escrow accounts. At the time of the acquisition, LandCastle was a large third-party agent of FNF, operating primarily in the State of Georgia. To date, FNF's total cash contribution to LandCastle is approximately $19 million and based on our current understanding of the business could increase by approximately $0 - $10 million.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19, 2014, ABRH completed a recapitalization whereby they entered into a new credit agreement for $210 million. As part of the recapitalization, ABRH's parent paid a special dividend to it's members, totaling $75 million. Of this special dividend, FNFV received $41 million. ABRH's parent also distributed its 28% ownership interest in J. Alexander's to FNFV, resulting in FNFV now directly owning 87% of J. Alexander's. See Note F for further discussion of the new credit agreement.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12, 2014, we announced that Ceridian reached an agreement to exchange its subsidiary Comdata Inc. ("Comdata") with FleetCor Technologies Inc. ("FleetCor") stock in a transaction valued at approximately $3.45 billion. After repayment of existing Comdata indebtedness and transaction related expenses, total consideration received by Ceridian will be approximately $950 million, which will be paid in approximately 7 million shares of FleetCor common stock. FNFV owns approximately 32% of Ceridian. Approximately $250 million of the common stock of FleetCor will be placed in an escrow account to cover potential indemnity claims as set forth in the merger agreement. The escrowed shares will be released over a three-year period. The actual number of shares of FleetCor common stock received by Ceridian will be subject to adjustment based on the amounts of indebtedness and working capital outstanding at Comdata at the closing of the transaction as set forth in the merger agreement. The shares of FleetCor common stock that Ceridian will receive will be subject to a six-month lockup period after closing of the transaction. At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expiration of the six-month lockup period, Ceridian will be entitled to demand registration rights on all shares of FleetCor common stock, subject to customary limitations. At closing of the Comdata merger FNFV will indirectly own approximately 3% of the outstanding shares of FleetCor. The stock-for-stock transaction is expected to be tax-free for Ceridian and its shareholders. The transaction is subject to customary closing conditions and is expected to close in the fourth quarter of 2014.</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As a result of this transfer, our ownership percentage in BKFS increased to 67%. Our results for periods since June 1, 2014, reflect our now 67% ownership interest in BKFS.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13, 2014, Remy acquired substantially all of the assets of United Starters and Alternators Industries, Inc. ("USA Industries"). USA Industries is a leading North American distributor of premium quality remanufactured and new alternators, starters, constant velocity axles and disc brake calipers for the light-duty aftermarket. Total consideration paid was $40 million, net of cash acquired.</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Old FNF common shares per share of LPS common stock. Total consideration paid for LPS was $3.4 billion, which consisted of $2,535 million in cash and $839 million in Old FNF common stock. In order to pay the stock component of the consideration, we issued 25,920,078 Old FNF shares to the former LPS shareholders. See Note B for further discussion.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No. 2014-08,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Statements (Topic 205) and Property, Plant, and Equipment (Topic 360): Reporting Discontinued Operations and Disclosures of Disposals of Components of an Entity. </w:t>
      </w:r>
      <w:r>
        <w:rPr>
          <w:rFonts w:ascii="Arial" w:cs="Arial" w:eastAsia="Arial" w:hAnsi="Arial"/>
          <w:sz w:val="17"/>
          <w:szCs w:val="17"/>
          <w:color w:val="auto"/>
        </w:rPr>
        <w:t>This ASU raises the threshold for a disposal to qualify as a discontinued operation and requires new disclosures of both</w:t>
      </w:r>
      <w:r>
        <w:rPr>
          <w:rFonts w:ascii="Arial" w:cs="Arial" w:eastAsia="Arial" w:hAnsi="Arial"/>
          <w:sz w:val="17"/>
          <w:szCs w:val="17"/>
          <w:i w:val="1"/>
          <w:iCs w:val="1"/>
          <w:color w:val="auto"/>
        </w:rPr>
        <w:t xml:space="preserve"> </w:t>
      </w:r>
      <w:r>
        <w:rPr>
          <w:rFonts w:ascii="Arial" w:cs="Arial" w:eastAsia="Arial" w:hAnsi="Arial"/>
          <w:sz w:val="17"/>
          <w:szCs w:val="17"/>
          <w:color w:val="auto"/>
        </w:rPr>
        <w:t>discontinued operations and certain other disposals that do not meet the definition of a discontinued operation. This ASU is effective for annual periods beginning after December 15, 2014, and interim periods within annual periods beginning on or after December 15, 2015, with early adoption permitted. We have adopted this ASU for the interim period beginning July 1, 2014 and this update did not have a material impact on our financial statements.</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a small software company, which we acquired with LPS and which was sold during the second quarter of 2014, are included in the Condensed Consolidated Statements of Earnings as discontinued operations for all periods presented. Total revenues included in discontinued operations $2 million for the nine months ending September 30, 2014. Pre-tax earnings included in discontinued operations are $1 million for the nine months ending September 30, 2014.</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two closed J. Alexander's locations and a settlement services company closed in the second quarter of 2013 are reflected in the Condensed Consolidated Statements of Earnings as discontinued operations for all periods presented. There were no revenues included in discontinued operations for the three months ending September 30, 2013, and $8 million for the nine months ending September 30, 2013. Pre-tax loss included in discontinued operations was $3 million for the nine months ending September 30,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financial statements for the three and nine months ended September 30, 2013, reflect related party transactions with Fidelity National Information Services, Inc. ("FIS"), which was considered a related party until December 31, 2013. See Note A of the Notes to Condensed Consolidated Financial Statements for further details on our transactions with related parties.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Operations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FNF core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December 2008, the Federal Reserve has held the federal funds rate at 0.0%-0.25%, and has recently indicated that rates will stay at this level for a "considerable time," although there is no assurance as to how long that will be. Mortgage interest rates were at historically low levels through the beginning of 2013. During the last half of 2013, however, interest rates rose to their highest level since 2011. Through the first nine months of 2014, mortgage interest rates have declined moderately. In early October, however, interest rates dropped below 4%.</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17, 2014, the Mortgage Bankers Association ("MBA") estimated the size of the U.S. mortgage originations market as shown in the following table for 2012 - 2015 in their "Mortgage Finance Forecast" (in trillions):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Refinance transactions</w:t>
            </w: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shown above, the originations in 2013 and 2012 were driven primarily by refinance transactions, which coincides with the historically low interest rates experienced during those years. In 2014, the MBA predicts a 44.4% decrease in the total market, primarily due to a 63.6% decrease in refinance transactions in 2014. Total projected originations in 2015 remain relatively consistent with those in 2014. During 2013 and through 2014, we experienced a moderate increase in existing home sales and we have also seen a decline in total housing inventory. However, we have experienced significant declines in refinance activity starting in the fourth quarter of 2013.</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Commercial real estate transaction volume is also often linked to the availability of financing. For the past several years, including 2014, we have experienced an increase in volume and fee per file of commercial transactions from the previous years, indicating strong commercial markets.</w:t>
      </w:r>
    </w:p>
    <w:p>
      <w:pPr>
        <w:spacing w:after="0" w:line="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On April 11, 2013, the FHFA announced that the modified HARP program had been extended through December 2015. We believe the modified HARP program had a positive effect on our results during 2013 and 2012, but are uncertain to what degree the program has impacted our results in 2014 or may impact our results in the future.</w:t>
      </w:r>
    </w:p>
    <w:p>
      <w:pPr>
        <w:spacing w:after="0" w:line="4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(collectively the "banking agencies") announced formal consent orders against several national bank mortgage servicers and third-party service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Our title insurance underwriters were not involved in these enforcement actions and we do not believe that our title insurance underwriters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title insurance policies, we would have the right to seek recovery from the foreclosing lender in the event of a failure to comply with state laws or local practices in connection with a foreclosure. The former LPS and certain of its subsidiaries entered into a consent order with the banking agencies in relation to its default operations, now part of the Title segment. As part of the consent order, LPS agreed to further study the issues identified in the review and enhance its compliance, internal audit, risk management and board oversight plans with respect to the related businesses, among additional agreed undertakings. In January 2013, ten large mortgage servicers concluded the reviews required by the 2011 consent orders and agreed to monetary settlements. In April 2013, these mortgage servicers began making restitution under these settlements. LPS also entered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into settlement agreements in January 2013 with 49 States and the District of Columbia relating to certain practices within its default operations and in February 2014, we also settled with the State of Nevada and the Federal Deposit Insurance Corporation. We cannot predict whether these settlements may result in more normalized foreclosure timelines in the future. Moreover, we cannot predict whether any additional legislative or regulatory changes will be implemented as a result of the findings of the banking agencies or whether the U.S. federal government may take additional action to address the current housing market and economic uncertainty. Some states have enacted or are considering adopting legislation, such as the California Homeowner Bill of Rights, that places additional responsibilities and restrictions on servicers with respect to the foreclosure process. Any such actions could further extend foreclosure timelines. Moreover, as the processing of foreclosures in accordance with applicable law becomes more onerous, many lenders are addressing loans in default through other means, such as short sales, in order to avoid the risks and liability now associated with the foreclosure process. If foreclosure timelines continue to be extended and servicers address delinquent loans through other processes, the results of our default operations within the Title segment may be adversely affected.</w:t>
      </w:r>
    </w:p>
    <w:p>
      <w:pPr>
        <w:spacing w:after="0" w:line="4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Dodd-Frank Wall Street Reform ("Dodd-Frank")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w:t>
      </w:r>
    </w:p>
    <w:p>
      <w:pPr>
        <w:spacing w:after="0" w:line="5" w:lineRule="exact"/>
        <w:rPr>
          <w:sz w:val="20"/>
          <w:szCs w:val="20"/>
          <w:color w:val="auto"/>
        </w:rPr>
      </w:pPr>
    </w:p>
    <w:p>
      <w:pPr>
        <w:jc w:val="both"/>
        <w:ind w:firstLine="8"/>
        <w:spacing w:after="0" w:line="290" w:lineRule="auto"/>
        <w:tabs>
          <w:tab w:leader="none" w:pos="27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 lenders to deliver to consumers a statement of final financing charges (and the related annual percentage rate) at least three business days prior to the closing. These rules became effective on January 10, 2014. Dodd-Frank also included regulation over financial services and other lending related businesses including our newly acquired BKFS business. On November 20, 2013, the CFPB issued additional rules regarding mortgage forms and other mortgage related disclosures with the intent to provide "easier-to-use" mortgage disclosure forms for the consumer. The additional disclosure requirements are effective August 1, 2015. We have reviewed the new requirements and are reviewing and updating our policies, procedures and technology resources as appropriate. We cannot be certain what impact, if any, these new rules, or the CFPB generally, will have on our core businesses.</w:t>
      </w:r>
    </w:p>
    <w:p>
      <w:pPr>
        <w:spacing w:after="0" w:line="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and in 2014, we have seen seasonality trends return to historical patterns.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Remy manufactures and sells auto parts, principally starter motors and alternators, as well as hybrid electric motors and multi-line products, including steering gear, constant velocity axles, and brake calipers, for sale to original equipment manufacturers (OEM) and aftermarket customers. Remy manufactures products for automobiles as well as light and heavy duty commercial vehicles. The OEM market for auto parts is dependent on levels of new vehicle production, which in turn, is affected by the overall economy, consumer confidence, discounts and incentives offered by automakers and the availability of funds to finance purchases.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aftermarket,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Pressure from customers to reduce prices is characteristic of the automotive supply industry. Due to the competitive nature of the business, revised terms with customers may impact Remy's ongoing profitability. Remy anticipates the impact of pricing to be in the range of 1% to 3%, consistent with prior years. Remy has taken and expect to continue to take steps to improve operating efficiencies and minimize or resist price reductions. Remy intends to maintain a disciplined approach to customer program pricing and may choose to exit programs with certain customers to protect margins and cash flow. As a result, Remy may choose to no longer continue programs with certain customers due to unacceptable competitive pricing or terms. To this end, Remy has chosen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 to meet the demands of a major aftermarket customer due to the negative pricing and working capital impact. The customer has notified Remy of their intent to re-source the business at the end of its current contract, which expires in January 2015. While these decisions impact net sales and operating income in the short term, Remy believes this operating discipline will help to maximize its long-term profitability. Sales to this customer were $80 million in 2013 and $68 million for the nine months ended September 30, 2014. Any loss of sales to this customer in 2015 will be partially offset, upon termination of the contract, by the sale of cores currently reflected in Prepaid expenses and other assets. Despite this likely reduction of 2015 revenues, this action will have a positive impact on Remy's net income and cash next year due to the unfavorable terms of the previous contract.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almost 49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1,377</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1,361</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Auto parts revenue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834</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6,494</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1,352</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w:t>
            </w:r>
          </w:p>
        </w:tc>
      </w:tr>
      <w:tr>
        <w:trPr>
          <w:trHeight w:val="229"/>
        </w:trPr>
        <w:tc>
          <w:tcPr>
            <w:tcW w:w="6180" w:type="dxa"/>
            <w:vAlign w:val="bottom"/>
          </w:tcPr>
          <w:p>
            <w:pPr>
              <w:ind w:left="280"/>
              <w:spacing w:after="0"/>
              <w:rPr>
                <w:sz w:val="20"/>
                <w:szCs w:val="20"/>
                <w:color w:val="auto"/>
              </w:rPr>
            </w:pPr>
            <w:r>
              <w:rPr>
                <w:rFonts w:ascii="Arial" w:cs="Arial" w:eastAsia="Arial" w:hAnsi="Arial"/>
                <w:sz w:val="18"/>
                <w:szCs w:val="18"/>
                <w:color w:val="auto"/>
                <w:w w:val="97"/>
              </w:rPr>
              <w:t>Cost of auto parts revenue, includes $19, $19, $51, $55 of depreciation and</w:t>
            </w:r>
          </w:p>
        </w:tc>
        <w:tc>
          <w:tcPr>
            <w:tcW w:w="1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704</w:t>
            </w:r>
          </w:p>
        </w:tc>
      </w:tr>
      <w:tr>
        <w:trPr>
          <w:trHeight w:val="216"/>
        </w:trPr>
        <w:tc>
          <w:tcPr>
            <w:tcW w:w="6180" w:type="dxa"/>
            <w:vAlign w:val="bottom"/>
          </w:tcPr>
          <w:p>
            <w:pPr>
              <w:ind w:left="280"/>
              <w:spacing w:after="0"/>
              <w:rPr>
                <w:sz w:val="20"/>
                <w:szCs w:val="20"/>
                <w:color w:val="auto"/>
              </w:rPr>
            </w:pPr>
            <w:r>
              <w:rPr>
                <w:rFonts w:ascii="Arial" w:cs="Arial" w:eastAsia="Arial" w:hAnsi="Arial"/>
                <w:sz w:val="18"/>
                <w:szCs w:val="18"/>
                <w:color w:val="auto"/>
                <w:w w:val="94"/>
              </w:rPr>
              <w:t>amortization in the three months ended September 30, 2014 and 2013 and the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6180" w:type="dxa"/>
            <w:vAlign w:val="bottom"/>
          </w:tcPr>
          <w:p>
            <w:pPr>
              <w:ind w:left="280"/>
              <w:spacing w:after="0"/>
              <w:rPr>
                <w:sz w:val="20"/>
                <w:szCs w:val="20"/>
                <w:color w:val="auto"/>
              </w:rPr>
            </w:pPr>
            <w:r>
              <w:rPr>
                <w:rFonts w:ascii="Arial" w:cs="Arial" w:eastAsia="Arial" w:hAnsi="Arial"/>
                <w:sz w:val="18"/>
                <w:szCs w:val="18"/>
                <w:color w:val="auto"/>
              </w:rPr>
              <w:t>nine months ended September 30, 2014 2014 and 2013, respectively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5,972</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5"/>
              </w:rPr>
              <w:t>Earnings from continuing operations before income taxes and equity in losses of</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w:t>
            </w: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of unconsolidated affiliates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Total revenues increased $209 million in the three months ended September 30, 2014, compared to the 2013 period. The increase consisted of a $176 million increase at FNF Core and a $33 million increase at FNFV. Total revenues increased $337 million in the nine months ended September 30, 2014, compared to the 2013 period. The increase consisted of a $238 million increase at FNF Core and a $99 million increase at FNFV.</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net earnings from continuing operations decreased $8 million in the three months ended September 30, 2014, compared to the 2013 period. The decrease consisted of a $5 million decrease at FNF Core and $3 million decrease at FNFV. Total net earnings from continuing operations decreased $215 million in the nine months ended September 30, 2014, compared to the 2013 period, due to a $212 million decrease at FNF Core and a $3 million decrease at FNFV.</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 Core includes the results of operations of our Title segment and our recently acquired BKFS segment as well as the FNF Core Corporate and Other segment which includes the operations of the parent holding company, certain other unallocated corporate overhead expenses, and other smaller real estate and insurance related operations.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includes our share in the operations of certain equity investments, including Ceridian, as well as the results of operations of our portfolio companies including restaurant revenue from ABRH and J. Alexander's, auto parts revenue from Remy, and within FNFV corporate and other, the results of Digital Insurance and other smaller operations which are not title related.</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Core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FNF Core businesses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Remy and the Restaurant Group are included in Cost of auto parts revenue and Cost of restaurant revenue,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out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Core segments and FNFV segments is discussed in further detail at the segment level below.</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was $59 million and $52 million in the three-month periods ended September 30, 2014 and 2013, respectively, and $79 million and $170 million in the nine-month periods ended September 30, 2014 and 2013, respectively. Income tax expense as a percentage of earnings before income taxes was 38% and 32% for the three-month periods ended September 30, 2014 and 2013, respectively, and 33% for both the nine-month periods ended September 30, 2014 and 2013. Income taxes as a percentage of earnings before income taxes fluctuates depending on our estimate of ultimate income tax liability and changes in the characteristics of net earnings, such as the weighting of operating income versus investment income. Included in income tax expense in the nine-months ending September 30, 2014 is a $12 million income tax benefit related to our portion of $35 million equity in losses recorded during the period related to our minority investment in Ceridian.</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Equity in losses of unconsolidated affiliates was $7 million and $14 million for the three-month periods ended September 30, 2014 and 2013, respectively, and $43 million and $20 million for the nine-month periods ended September 30, 2014 and 2013, respectively. The equity in losses in 2014 and 2013 consisted primarily of net losses related to our investment in Ceridian, which is described further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January 2, 2014, the Title segment includes the results of the transaction services business acquired with LPS.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4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4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09"/>
        </w:trPr>
        <w:tc>
          <w:tcPr>
            <w:tcW w:w="6400" w:type="dxa"/>
            <w:vAlign w:val="bottom"/>
          </w:tcPr>
          <w:p>
            <w:pPr>
              <w:ind w:left="40"/>
              <w:spacing w:after="0"/>
              <w:rPr>
                <w:sz w:val="20"/>
                <w:szCs w:val="20"/>
                <w:color w:val="auto"/>
              </w:rPr>
            </w:pPr>
            <w:r>
              <w:rPr>
                <w:rFonts w:ascii="Arial" w:cs="Arial" w:eastAsia="Arial" w:hAnsi="Arial"/>
                <w:sz w:val="18"/>
                <w:szCs w:val="18"/>
                <w:color w:val="auto"/>
                <w:w w:val="96"/>
              </w:rPr>
              <w:t>Earnings from continuing operations before income taxes and equity in earnings of</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1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1,463,000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1,789,000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985,000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1,401,000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decreased $33 million, or 2%, in the three months ended September 30, 2014 from the 2013 period. Total revenues for the Title segment decreased $347 million, or 8%, in the nine months ended September 30, 2014 from the 2013 period.</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58"/>
        </w:trPr>
        <w:tc>
          <w:tcPr>
            <w:tcW w:w="2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Title premiums from direct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Title premiums from agency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528</w:t>
            </w: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decreased 10% in the three months ended September 30, 2014 as compared to the 2013 period. The decrease was made up of a decrease in premiums from direct operations of $7 million, or 1%, and a decrease in premiums from agency operations of $102 million, or 16% in the three months ended September 30, 2014. Title premiums decreased 14% in the nine months ended September 30, 2014 as compared to the 2013 period. The decrease was made up of a decrease in premiums from direct operations of $128 million, or 9%, and a decrease in premiums from agency operations of $329 million, or 18% in the nine months ended September 30, 2014.</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presents the percentages of closed title insurance orders generated by purchase and refinance transactions by our direct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6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Title premiums from direct operations decreased in 2014, primarily due to a decrease in closed order volumes as compared to the prior quarter, partially offset by an increase of $21 million and $62 million in the three and nine months ended September 30, 2014, respectively, related to the transaction services business acquired from LPS on January 2, 2014. Also offsetting the decline in orders was an increase in commercial revenue from the 2013 period and increase in the commercial fee per file. The decrease in order volumes was primarily related to a significant decrease in refinance transactions since the fourth quarter of 2013. In 2013, refinance transactions represented more than 60% of our total closed orders versus approximately 40% in 2014. Closed order volumes were 348,000 in the three months ended September 30, 2014 compared with 410,000 in the three months ended September 30, 2013 and were 985,000 in the nine months ended September 30, 2014 compared with 1,401,000 in the nine months ended September 30, 2013. Although there was a decrease in closed order volumes in 2014, this was partially offset by a 14% increase in the fee per file in the three month period and a 26% increase in the fee per file in the nine month period. The average fee per file in our direct operations was $2,066 and $1,974 in the three and nine months ended September 30, 2014, respectively, compared to $1,807 and $1,568 in the three and nine months ended September 30, 2013, respectively, with the increase reflecting a higher volume of purchase transactions, which have a higher fee per file.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Also, commercial transactions typically have a higher fee per file.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title premiums from agency operations is primarily the result of the overall decline in real estate activity since the prior quarter. The decrease was consistent with the decrease in direct operations, except that the direct operations benefited from the addition of the transaction services business acquired from LPS on January 2, 2014, as discussed above.</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Escrow, title related and other fees increased by $82 million, or 20% in the three months ending September 30, 2014 from 2013 and increased by $128 million, or 10% in the nine months ending September 30, 2014 from 2013. Escrow fees, which are more directly related to our direct operations, decreased $20 million, or 11%, in the three months ended September 30, 2014 compared to the 2013 period and decreased $121 million, or 22%, in the nine months ended September 30, 2014 compared to the 2013 period. In both periods the decrease is consistent with the decrease in direct title premiums. The decrease in Escrow fees was offset by the addition of $12 million and $35 million in the three and nine months ended September 30, 2014, respectively, related to the transaction services business acquired from LPS on January 2, 2014. Other fees in the Title segment, excluding escrow fees, increased $102 million, or 44%, in the three months ended September 30, 2014 compared to the 2013 period and increased $249 million, or 35%, in the nine months ended September 30, 2014 compared to the 2013 period. The increase in other fees was primarily due to the addition of $129 million and $378 million in the three and nine months ended September 30, 2014, respectively, related to the transaction services business acquired from LPS on January 2, 2014. The increase in other fees was offset by decreases in direct operations.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remained flat in the three months ended September 30, 2014 compared to the 2013 period and decreased $8 million in the nine months ended September 30, 2014 compared to the 2013 period. The decrease is due primarily to decreases in market interest rates and in turn lower bond yields during the nine months ended September 30, 2014 from the 2013 period.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 $8 million, or 2% increase in the three-month period ended September 30, 2014 compared to the 2013 period is due to additional expense related to the Transaction Services business acquired from LPS in January 2014, severance expense of $2 million and an accrual for expected bonuses to be paid on our synergy bonus program 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$3 million recorded in the quarter. These increases were offset by lower personnel costs in the remainder of our Title segment due to lower revenues and order volumes. The $13 million or 1% increase recorded during the nine-month period ended September 30, 2014 related to severance expense of $18 million and an accrual for expected bonuses to be paid on our synergy bonus program of $28 million, offset by decreases in personnel costs due to decreased staffing levels consistent with the change in order volumes. Personnel costs as a percentage of total revenues from direct title premiums and escrow, title-related and other fees were 50% and 53% for the three and nine-month periods ended September 30, 2014 and 53% for both the three and nine-month periods ended September 30, 2013. Average employee count in the Title segment was 19,550 and 20,190 in the three-month periods ended September 30, 2014 and 2013, respectively, and 18,928 and 19,722 in the nine-month periods ended September 30, 2014 and 2013, respectively. The decrease in both the three and nine months during the 2014 period includes reductions in headcount as a result of synergies realized with the merger of the LPS transaction services business with the historical title business, offset by an increase of 2,668 employees from the LPS acquisition in January 2014. The reduction in personnel during 2014 also relate to decreases in orders and revenues.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$73 million, or 26% in the three months ending September 30, 2014 from 2013 and increased by $195 million, or 23% in the nine months ending September 30, 2014 from 2013. Other operating expenses increased in both periods due to the addition of the transaction services business acquired from LPS. Also affecting the nine-month period ended September 30, 2014 were $39 million of transaction costs related to the LPS acquisition offset by an $8 million reduction to our accrual for premium taxes due to a statutory contingency resolved during the period.</w:t>
      </w:r>
    </w:p>
    <w:p>
      <w:pPr>
        <w:spacing w:after="0" w:line="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 which have remained consistent since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396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1,098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Depreciation and amortization increased $18 million and $60 million in the three and nine months ended September 30, 2014 from the 2013 periods, respectively. The increases in both periods are mainly due to additional amortization related to the LPS acquisition. In the three and nine months ended September 30, 2014, $21 million and $64 million of incremental depreciation and amortization was recorded on assets acquired as a result of being marked to estimated fair value in purchase accounting.</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April 1, 2014, we revised our loss provision rate to 6% from 7% primarily due to favorable development on more recent policy year claims.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claim loss provision for title insurance was $59 million and $77 million for the three-month periods ended September 30, 2014 and 2013, respectively, and reflects an average provision rate of 6% and 7% of title premiums, respectively. The claim loss provision for title insurance was $169 million and $221 million for the nine-month periods ended September 30, 2014 and 2013, respectively, and reflects an average provision rate of 6.3% and 7% of title premiums, respectively.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BKFS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reflected in the three and nine months ended September 30, 2014, reflect results of BKFS and subsidiaries, which were initially consolidated on January 2, 2014, the date on which we acquired LPS.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280" w:type="dxa"/>
            <w:vAlign w:val="bottom"/>
          </w:tcPr>
          <w:p>
            <w:pPr>
              <w:spacing w:after="0"/>
              <w:rPr>
                <w:sz w:val="14"/>
                <w:szCs w:val="14"/>
                <w:color w:val="auto"/>
              </w:rPr>
            </w:pPr>
          </w:p>
        </w:tc>
        <w:tc>
          <w:tcPr>
            <w:tcW w:w="1620" w:type="dxa"/>
            <w:vAlign w:val="bottom"/>
          </w:tcPr>
          <w:p>
            <w:pPr>
              <w:jc w:val="right"/>
              <w:ind w:right="2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30, 2014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4"/>
              </w:rPr>
              <w:t>September 30, 2014</w:t>
            </w:r>
          </w:p>
        </w:tc>
      </w:tr>
      <w:tr>
        <w:trPr>
          <w:trHeight w:val="190"/>
        </w:trPr>
        <w:tc>
          <w:tcPr>
            <w:tcW w:w="7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6"/>
                <w:szCs w:val="16"/>
                <w:color w:val="auto"/>
              </w:rPr>
            </w:pPr>
          </w:p>
        </w:tc>
      </w:tr>
      <w:tr>
        <w:trPr>
          <w:trHeight w:val="255"/>
        </w:trPr>
        <w:tc>
          <w:tcPr>
            <w:tcW w:w="7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6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
        </w:trPr>
        <w:tc>
          <w:tcPr>
            <w:tcW w:w="7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Expenses:</w:t>
            </w:r>
          </w:p>
        </w:tc>
        <w:tc>
          <w:tcPr>
            <w:tcW w:w="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6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
        </w:trPr>
        <w:tc>
          <w:tcPr>
            <w:tcW w:w="7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7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6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w:t>
            </w:r>
          </w:p>
        </w:tc>
      </w:tr>
      <w:tr>
        <w:trPr>
          <w:trHeight w:val="257"/>
        </w:trPr>
        <w:tc>
          <w:tcPr>
            <w:tcW w:w="7260" w:type="dxa"/>
            <w:vAlign w:val="bottom"/>
          </w:tcPr>
          <w:p>
            <w:pPr>
              <w:ind w:left="40"/>
              <w:spacing w:after="0"/>
              <w:rPr>
                <w:sz w:val="20"/>
                <w:szCs w:val="20"/>
                <w:color w:val="auto"/>
              </w:rPr>
            </w:pPr>
            <w:r>
              <w:rPr>
                <w:rFonts w:ascii="Arial" w:cs="Arial" w:eastAsia="Arial" w:hAnsi="Arial"/>
                <w:sz w:val="18"/>
                <w:szCs w:val="18"/>
                <w:color w:val="auto"/>
              </w:rPr>
              <w:t>Earnings (loss) from continuing operations before income taxes</w:t>
            </w: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results of the BKFS segment were negatively affected by costs related to the acquisition and integration of LPS by FNF since January 2, 2014. During the three months ending September 30, 2014, the results of BKFS contain $3 million of transaction expenses and a $3 million accrual for merger related litigation, which were included in other operating expenses. Included within personnel costs in the three months ending September 30, 2014 were $1 million in severance expenses relating to the acquisition and a $3 million expense to accrue for expected bonuses under our synergy bonus program. Depreciation and amortization for the three months ending September 30, 2014 includes $25 million in incremental purchase price amortization related to assets acquired with LPS and marked to estimated fair value in purchase accounting.</w:t>
      </w:r>
    </w:p>
    <w:p>
      <w:pPr>
        <w:spacing w:after="0" w:line="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nine months ending September 30, 2014, the results of BKFS contain $40 million of transaction expenses and $11 million for merger related litigation, which were included in other operating expenses. Included within personnel costs in the nine months ending September 30, 2014 were $27 million in severance expenses relating to the acquisition and $28 million expense to accrue for expected bonuses under our synergy bonus program. Depreciation and amortization for the nine months ending September 30, 2014 includes $73 million related to assets acquired with LPS and marked to fair value in purchase accounting.</w:t>
      </w:r>
    </w:p>
    <w:p>
      <w:pPr>
        <w:spacing w:after="0" w:line="8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Excluding these merger related costs, earnings from continuing operations before income taxes in the three and nine months ending September 30, 2014 was $59 million and $145 million, respectively, for the BKFS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FNF Core Corporate and Other segment generated revenues of $2 million and $7 million for the three months ended September 30, 2014 and 2013, respectively, and $(12) million and $35 million for the nine months ended September 30, 2014 and 2013, respectively. The decrease in both periods is due to the elimination of software license fees between our BKFS segment and our Title segment, which we began eliminating upon the acquisition of LPS in 2014.</w:t>
      </w:r>
    </w:p>
    <w:p>
      <w:pPr>
        <w:spacing w:after="0" w:line="3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Other operating expenses in the FNF Core Corporate and Other segment were $3 million and $24 million for the three months ended September 30, 2014 and 2013, respectively, and $(13) million and $77 million for the nine months ended September 30, 2014 and 2013, respectively. The decrease in the three month period is due to a $20 million accrual related to an employment litigation matter and $3 million in transaction costs related to the LPS acquisition in the 2013 period. The decrease in the nine month period includes a $29 million allocation of transaction costs from the FNF Core Corporate segment to BKFS. The decrease in both periods is also due to the elimination of software license fees between our BKFS segment and our Title segment, which we began eliminating upon the acquisition of LPS in 2014.</w:t>
      </w:r>
    </w:p>
    <w:p>
      <w:pPr>
        <w:spacing w:after="0" w:line="8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Interest expense was $24 million and $20 million for the three months ended September 30, 2014 and 2013, respectively, and $70 million and $52 million for the nine months ended September 30, 2014 and 2013, respectively. The increase in both 2014 periods is due to additional borrowings in January 2014 to finance the acquisition of LPS.</w:t>
      </w:r>
    </w:p>
    <w:p>
      <w:pPr>
        <w:spacing w:after="0" w:line="73"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This segment generated pretax losses of $35 million and $44 million for the three months ended September 30, 2014 and 2013, respectively, and $90 million and $117 million for the nine months ended September 30, 2014 and 2013, respectively, with the change due to the reasons discussed above, primarily the change in Other operating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Remy</w:t>
            </w:r>
          </w:p>
        </w:tc>
        <w:tc>
          <w:tcPr>
            <w:tcW w:w="200" w:type="dxa"/>
            <w:vAlign w:val="bottom"/>
          </w:tcPr>
          <w:p>
            <w:pPr>
              <w:spacing w:after="0"/>
              <w:rPr>
                <w:sz w:val="21"/>
                <w:szCs w:val="21"/>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1"/>
                <w:szCs w:val="21"/>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2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6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Cost of auto parts revenue, includes $19, $19, $51, $55 of depreciation and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r>
      <w:tr>
        <w:trPr>
          <w:trHeight w:val="216"/>
        </w:trPr>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amortization in the three months ended September 30, 2014 and 2013 and the nine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months ended September 30, 2014 2014 and 2013,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Auto parts revenues increased $24 million, or 9% in the three months ending September 30, 2014, from 2013, due to increased volume of $28 million, including an additional $8 million in revenues from the newly acquired USA Industries as well as $3 million in favorable foreign currency translation effect; these increases were partially offset by negative pricing impact of $7 million. Auto parts revenues increased $58 million, or 7% in the nine months ending September 30, 2014, from 2013, due primarily to increased volume of $69 million including an additional $24 million in revenues from the newly acquired USA Industries as well as $8 million in favorable foreign currency translation effect, offset by negative pricing impact of $17 million.</w:t>
      </w:r>
    </w:p>
    <w:p>
      <w:pPr>
        <w:spacing w:after="0" w:line="5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Cost of auto parts revenue increased $43 million, or 19%, in the three months ending September 30, 2014, from 2013, and increased $67 million, or 10%, in the nine months ending September 30, 2014, from 2013, due to higher sales volumes related to the acquisition of USA Industries. Remy also incurred $19 million in other costs related to a litigation settlement of the Tecnomatic matter during the three months ended September 30, 2014. Remy recorded a step-up on finished goods inventory relating to the acquisition of USA Industries of $4 million in the nine months ending September 30, 2014.</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affecting the nine months ending September 30, 2013 was a $7 million charge to Personnel costs during the first quarter of 2013 for a one-time executive separation payment made to Remy's former Chief Executive Officer and President pursuant to the terms of a Transition, Noncompetition and Release Agreement, effective February 28,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Restaurant Group</w:t>
            </w:r>
          </w:p>
        </w:tc>
        <w:tc>
          <w:tcPr>
            <w:tcW w:w="200" w:type="dxa"/>
            <w:vAlign w:val="bottom"/>
          </w:tcPr>
          <w:p>
            <w:pPr>
              <w:spacing w:after="0"/>
              <w:rPr>
                <w:sz w:val="21"/>
                <w:szCs w:val="21"/>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1"/>
                <w:szCs w:val="21"/>
                <w:color w:val="auto"/>
              </w:rPr>
            </w:pPr>
          </w:p>
        </w:tc>
        <w:tc>
          <w:tcPr>
            <w:tcW w:w="2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2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889</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1,032</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Restaurant group segment increased $5 million, or 1%, in the three months ended September 30, 2014, from the 2013 period and increased $17 million, or 2% in the nine months ended September 30, 2014, from the 2013 period.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Earnings from continuing operations before income taxes decreased $3 million in the three months ending September 30, 2014, from the 2013 period. Earnings from continuing operations before income taxes increased $8 million in the nine months ending September 30, 2014 from the 2013 period mainly due to the results of the Restaurant group segment in 2013 being negatively affected by a $2 million impairment charge related to the closing of one J. Alexander's location and one Max &amp; Erma's location, which was included in Realized gains and losses, net and $10 million in transaction and integration costs included in Other operating expenses in the 2013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Cascade Timberlands and other smaller operations. This segment also includes our Long Term Incentive Plan ("LTIP") established during 2012 which is tied to the fair value of certain of our FNFV investments.</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FNFV Corporate and Other segment generated revenues of $24 million and $20 million for the three months ending September 30, 2014 and 2013, respectively, and generated revenues of $82 million and $62 million for the nine months ending September 30, 2014 and 2013, respectively.</w:t>
      </w:r>
    </w:p>
    <w:p>
      <w:pPr>
        <w:spacing w:after="0" w:line="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Revenues increased $4 million, or 20% in the three months ending September 30, 2014 from 2013, and $20 million, or 32% in the nine months ending September 30, 2014 from 2013, which includes an increase of $6 million and $13 million in the three and nine months ending September 30, 2014 from 2013 at Digital Insurance. Digital Insurance made several acquisitions during 2013 and 2014, which account for this growth in revenue.</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Personnel costs were $22 million and $32 million, for the three months ended September 30, 2014 and 2013, respectively, and were $61 million and $77 million, for the nine months ended September 30, 2014 and 2013, respectively. The decrease in both periods is primarily due to 2013 including $8 million and $16 million of additional expense recorded in the three and nine months ended September 30, 2013, respectively, related to the accrual for our LTIP, offset by slight increases in personnel costs at Digital Insurance.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generated pretax losses of $6 million and $20 million for the three months ended September 30, 2014 and 2013, respectively, with the change due to the increase in revenues and decrease in personnel costs as described above. This segment generated pretax losses of $3 million and $35 million for the nine months ended September 30, 2014 and 2013, respectively, with the change due to the increase in revenues and decrease in personnel costs as described above.</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Equity in losses in unconsolidated affiliates was $8 million and $13 million for the three months ended September 30, 2014 and 2013, respectively and was $46 million and $24 million for the nine months ended September 30, 2014 and 2013, respectively. The equity in losses of unconsolidated affiliates for the nine-months ending September 30, 2014 includes twelve months of Ceridian's results, as in the first quarter of 2014 we transitioned Ceridian to a real-time financial reporting schedule as opposed to the historical one-quarter lag. As a result, the results for the nine month period ending September 30, 2014 includes $34 million in losses, which represents our portion of Ceridian's net losses for the twelve month period ending September 30, 2014. Included in our results for the nine-month period ended September 30, 2014 are losses of $21 million, net of taxes, primarily related to the settlement of Ceridian's U.S. Fueling Merchants lawsuit. The nine months ending September 30, 2013 includes our 32% share of a $10 million, net of tax, charge to write off a deferred tax asset at Ceridian.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$0.18 per share for the third quarter of 2014, or approximately $50 million to our FNF Group common shareholders. On October 28, 2014, our Board of Directors declared cash dividends of $0.19 per share, payable on December 31, 2014, to FNF Group common shareholders of record as of December 17, 2014.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2013, $1,909 million of our net assets were restricted from dividend payments without prior approval from the relevant departments of insurance. As of September 30, 2014, our title subsidiaries could pay or make distributions to us of approximately $114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creation of a tracking stock for our portfolio company investments, now known as FNFV. The primary FNFV investments include our equity interests in Remy, ABRH, J. Alexander's, Ceridian, and Digital Insurance. We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will be used for general corporate purposes including to reinvest in core operations, repay debt, pay dividends, repurchase stock, other strategic initiatives and/or conserving cash.</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cash flows provided by operations for the nine months ended September 30, 2014 and 2013 totaled $284 million and $344 million, respectively. The decrease of $60 million is primarily due to the payment of $45 million in transaction costs relating to the acquisition of LPS, bonus payments of $88 million relating to payments under our LTIP and our synergy bonus program, $42 million in severance payments relating to the LPS acquisition and $48 million in payments made for certain legal matters relating to historic LPS matters. These cash outflows were offset by tax refunds of $62 million on LPS acquisition costs and incremental cash flows from the operations of LPS.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$144 million and $116 million for the nine-month periods ended September 30, 2014 and 2013, respectively, with the increase related to expenditures on capitalized software at BKFS, acquired with LPS on January 2, 2014.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F included in Item 1 of Part 1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the real estate industry including title insurers.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saw seasonality trends return to historical patterns. During 2013 and 2014, we experienced a moderate increase in existing home sales and we have also seen a decline in total housing inventory. However, we have experienced significant declines in refinance activity starting in the fourth quarter of 2013.</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 term contractual obligations since the 10-Q filed on May 8, 2014,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below.</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2014, we entered into an investment commitment for $40 million; as of September 30, 2014, we have invested $16 million, with the remaining $24 million to be made in the future.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October 28, 2014, our Board of Directors approved a three-year stock purchase program, effective November 6, 2014,</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we can repurchase up to 10 million shares of our FNFV Group common stock through November 30, 2017. We may make repurchases from time to time in the open market, in block purchases or in privately negotiated transactions, depending on market conditions and other factors. We did not repurchase any FNFV Group shares from November 6, 2014 through market close on November 7, 2014.</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 277,462,875 shares of FNF Group common stock and 91,711,237 shares of FNFV Group common stock. See Note A for further discussion on the recapitalization of FNF common stock.</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 2014, we completed the purchase of LPS. As part of the consideration, $839 million or 25,920,078 shares of Old FNF common stock was issued to LPS stockholders. See Note B for further information on the acquisition of LPS.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24, 2013, we offered 17,250,000 shares of our Old FNF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21, 2012, our Board of Directors approved a three-year stock 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We did not repurchase any shares during the three or nine months ended September 30, 2014. Subsequent to September 30, 2014 through market close on November 7, 2014, we did not purchase any additional shares. Since the original commencement of the plan on August 1, 2012, we have repurchased a total of 2,080,000 shares for $50 million, or an average of $23.90 per share, and there are 12,920,000 shares available to be repurchased under this program.</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September 30, 2014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B for a discussion of the changes to our critical accounting policies described in our Annual Report on Form 10-K for our fiscal year ended December 31,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the Company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2014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380" w:firstLine="324"/>
        <w:spacing w:after="0" w:line="264" w:lineRule="auto"/>
        <w:rPr>
          <w:sz w:val="20"/>
          <w:szCs w:val="20"/>
          <w:color w:val="auto"/>
        </w:rPr>
      </w:pPr>
      <w:r>
        <w:rPr>
          <w:rFonts w:ascii="Arial" w:cs="Arial" w:eastAsia="Arial" w:hAnsi="Arial"/>
          <w:sz w:val="18"/>
          <w:szCs w:val="18"/>
          <w:color w:val="auto"/>
        </w:rPr>
        <w:t>See discussion of legal proceedings in Note G to the Condensed Consolidated Financial Statements included in Item 1 of Part I of this Report, which is incorporated by reference into this Part II, Item 1, as well as Item 3. Legal Proceedings, in our Annual Report on Form 10-K for the year ended December 31, 2013.</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September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944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 Exhibits</w:t>
            </w:r>
          </w:p>
        </w:tc>
        <w:tc>
          <w:tcPr>
            <w:tcW w:w="60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324"/>
        </w:trPr>
        <w:tc>
          <w:tcPr>
            <w:tcW w:w="196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440" w:type="dxa"/>
            <w:vAlign w:val="bottom"/>
          </w:tcPr>
          <w:p>
            <w:pPr>
              <w:spacing w:after="0"/>
              <w:rPr>
                <w:sz w:val="24"/>
                <w:szCs w:val="24"/>
                <w:color w:val="auto"/>
              </w:rPr>
            </w:pPr>
          </w:p>
        </w:tc>
      </w:tr>
      <w:tr>
        <w:trPr>
          <w:trHeight w:val="364"/>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10.1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1"/>
              </w:rPr>
              <w:t>Form of Notice of Long-Term Investment Success Performance Award Agreement under Amended and Restated Fidelity</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National Financial, Inc. 2005 Omnibus Incentive Plan.</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10.2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2"/>
              </w:rPr>
              <w:t>Form of Notice of Restricted Stock Grant and Restricted Stock Award Agreement Under Amended and Restated Fidelity</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National Financial, Inc. 2005 Omnibus Incentive Plan for September 2014.</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10.3</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3"/>
              </w:rPr>
              <w:t>Term Loan Credit Agreement, dated as of August 19, 2013, among ABRH ,LLC, the lenders party thereto, Wells Fargo</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Bank N.A., as administrative agent, and the other agents party thereto.</w:t>
            </w:r>
          </w:p>
        </w:tc>
      </w:tr>
      <w:tr>
        <w:trPr>
          <w:trHeight w:val="540"/>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6"/>
              </w:rPr>
              <w:t>101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The following materials from Fidelity National Financial's Quarterly Report on Form 10-Q for the quarter ended</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5"/>
              </w:rPr>
              <w:t>September 30, 2014, formatted in Extensible Business Reporting Language (XBRL): (i) the Condensed Consolidated</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0"/>
              </w:rPr>
              <w:t>Balance Sheets, (ii) the Condensed Consolidated Statements of Earnings, (iii) the Condensed Consolidated Statements of</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6"/>
              </w:rPr>
              <w:t>Comprehensive Earnings, (iv) the Condensed Consolidated Statements of Stockholders' Equity, (v) the Condensed</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Consolidated Statements of Cash Flows, and (vi) the Notes to the Consolidated Financial Statements.</w:t>
            </w:r>
          </w:p>
        </w:tc>
      </w:tr>
      <w:tr>
        <w:trPr>
          <w:trHeight w:val="702"/>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00"/>
          </w:cols>
          <w:pgMar w:left="240" w:top="108"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Date: November 10, 2014</w:t>
            </w:r>
          </w:p>
        </w:tc>
        <w:tc>
          <w:tcPr>
            <w:tcW w:w="6260" w:type="dxa"/>
            <w:vAlign w:val="bottom"/>
            <w:gridSpan w:val="2"/>
          </w:tcPr>
          <w:p>
            <w:pPr>
              <w:ind w:left="156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440" w:type="dxa"/>
            <w:vAlign w:val="bottom"/>
          </w:tcPr>
          <w:p>
            <w:pPr>
              <w:spacing w:after="0"/>
              <w:rPr>
                <w:sz w:val="20"/>
                <w:szCs w:val="20"/>
                <w:color w:val="auto"/>
              </w:rPr>
            </w:pPr>
          </w:p>
        </w:tc>
        <w:tc>
          <w:tcPr>
            <w:tcW w:w="6260" w:type="dxa"/>
            <w:vAlign w:val="bottom"/>
            <w:gridSpan w:val="2"/>
          </w:tcPr>
          <w:p>
            <w:pPr>
              <w:ind w:left="1560"/>
              <w:spacing w:after="0"/>
              <w:rPr>
                <w:sz w:val="20"/>
                <w:szCs w:val="20"/>
                <w:color w:val="auto"/>
              </w:rPr>
            </w:pPr>
            <w:r>
              <w:rPr>
                <w:rFonts w:ascii="Arial" w:cs="Arial" w:eastAsia="Arial" w:hAnsi="Arial"/>
                <w:sz w:val="18"/>
                <w:szCs w:val="18"/>
                <w:color w:val="auto"/>
              </w:rPr>
              <w:t>(registrant)</w:t>
            </w:r>
          </w:p>
        </w:tc>
      </w:tr>
      <w:tr>
        <w:trPr>
          <w:trHeight w:val="486"/>
        </w:trPr>
        <w:tc>
          <w:tcPr>
            <w:tcW w:w="3440" w:type="dxa"/>
            <w:vAlign w:val="bottom"/>
          </w:tcPr>
          <w:p>
            <w:pPr>
              <w:spacing w:after="0"/>
              <w:rPr>
                <w:sz w:val="24"/>
                <w:szCs w:val="24"/>
                <w:color w:val="auto"/>
              </w:rPr>
            </w:pPr>
          </w:p>
        </w:tc>
        <w:tc>
          <w:tcPr>
            <w:tcW w:w="6260" w:type="dxa"/>
            <w:vAlign w:val="bottom"/>
            <w:gridSpan w:val="2"/>
          </w:tcPr>
          <w:p>
            <w:pPr>
              <w:ind w:left="1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4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440" w:type="dxa"/>
            <w:vAlign w:val="bottom"/>
          </w:tcPr>
          <w:p>
            <w:pPr>
              <w:spacing w:after="0"/>
              <w:rPr>
                <w:sz w:val="24"/>
                <w:szCs w:val="24"/>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50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900" w:type="dxa"/>
            <w:vAlign w:val="bottom"/>
          </w:tcPr>
          <w:p>
            <w:pPr>
              <w:spacing w:after="0"/>
              <w:rPr>
                <w:sz w:val="24"/>
                <w:szCs w:val="24"/>
                <w:color w:val="auto"/>
              </w:rPr>
            </w:pPr>
          </w:p>
        </w:tc>
      </w:tr>
      <w:tr>
        <w:trPr>
          <w:trHeight w:val="209"/>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7"/>
              </w:rPr>
              <w:t>No.</w:t>
            </w:r>
          </w:p>
        </w:tc>
        <w:tc>
          <w:tcPr>
            <w:tcW w:w="890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1480" w:type="dxa"/>
            <w:vAlign w:val="bottom"/>
          </w:tcPr>
          <w:p>
            <w:pPr>
              <w:spacing w:after="0"/>
              <w:rPr>
                <w:sz w:val="19"/>
                <w:szCs w:val="19"/>
                <w:color w:val="auto"/>
              </w:rPr>
            </w:pPr>
          </w:p>
        </w:tc>
        <w:tc>
          <w:tcPr>
            <w:tcW w:w="8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Form of Notice of Long-Term Investment Success Performance Award Agreement under Amended and Restated Fidelity</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National Financial, Inc. 2005 Omnibus Incentive Plan</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2"/>
              </w:rPr>
              <w:t>Form of Notice of Restricted Stock Grant and Restricted Stock Award Agreement Under Amended and Restated Fidelity</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National Financial, Inc. 2005 Omnibus Incentive Plan for September 2014.</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4"/>
              </w:rPr>
              <w:t>Term Loan Credit Agreement, dated as of August 19, 2013, among ABRH ,LLC, the lenders party thereto, Wells Fargo</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Bank N.A., as administrative agent, and the other agents party thereto.</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99"/>
        </w:trPr>
        <w:tc>
          <w:tcPr>
            <w:tcW w:w="104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The following materials from Fidelity National Financial's Quarterly Report on Form 10-Q for the quarter ended</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5"/>
              </w:rPr>
              <w:t>September 30, 2014, formatted in Extensible Business Reporting Language (XBRL): (i) the Condensed Consolidated</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1"/>
              </w:rPr>
              <w:t>Balance Sheets, (ii) the Condensed Consolidated Statements of Earnings, (iii) the Condensed Consolidated Statements of</w:t>
            </w:r>
          </w:p>
        </w:tc>
      </w:tr>
    </w:tbl>
    <w:p>
      <w:pPr>
        <w:ind w:left="2540" w:right="40"/>
        <w:spacing w:after="0" w:line="290" w:lineRule="auto"/>
        <w:rPr>
          <w:sz w:val="20"/>
          <w:szCs w:val="20"/>
          <w:color w:val="auto"/>
        </w:rPr>
      </w:pPr>
      <w:r>
        <w:rPr>
          <w:rFonts w:ascii="Arial" w:cs="Arial" w:eastAsia="Arial" w:hAnsi="Arial"/>
          <w:sz w:val="17"/>
          <w:szCs w:val="17"/>
          <w:color w:val="auto"/>
        </w:rPr>
        <w:t>Comprehensive Earnings, (iv) the Condensed Consolidated Statements of Stockholders' Equity, (v) the Condensed Consolidated Statements of Cash Flows, and (vi) the Notes to the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ind w:left="7780"/>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(the “Grantee”) have been granted the following award of restricted shares of FNFV Group Common Stock (the “Restricted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295" w:lineRule="exact"/>
        <w:rPr>
          <w:sz w:val="20"/>
          <w:szCs w:val="20"/>
          <w:color w:val="auto"/>
        </w:rPr>
      </w:pPr>
    </w:p>
    <w:tbl>
      <w:tblPr>
        <w:tblLayout w:type="fixed"/>
        <w:tblInd w:w="1790" w:type="dxa"/>
        <w:tblCellMar>
          <w:top w:w="0" w:type="dxa"/>
          <w:left w:w="0" w:type="dxa"/>
          <w:bottom w:w="0" w:type="dxa"/>
          <w:right w:w="0" w:type="dxa"/>
        </w:tblCellMar>
      </w:tblPr>
      <w:tr>
        <w:trPr>
          <w:trHeight w:val="257"/>
        </w:trPr>
        <w:tc>
          <w:tcPr>
            <w:tcW w:w="3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4240" w:type="dxa"/>
            <w:vAlign w:val="bottom"/>
            <w:tcBorders>
              <w:top w:val="single" w:sz="8" w:color="auto"/>
              <w:right w:val="single" w:sz="8" w:color="auto"/>
            </w:tcBorders>
          </w:tcPr>
          <w:p>
            <w:pPr>
              <w:spacing w:after="0"/>
              <w:rPr>
                <w:sz w:val="22"/>
                <w:szCs w:val="22"/>
                <w:color w:val="auto"/>
              </w:rPr>
            </w:pP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Number of Shares of Restricted Stock Granted:</w:t>
            </w:r>
          </w:p>
        </w:tc>
        <w:tc>
          <w:tcPr>
            <w:tcW w:w="4240" w:type="dxa"/>
            <w:vAlign w:val="bottom"/>
            <w:tcBorders>
              <w:right w:val="single" w:sz="8" w:color="auto"/>
            </w:tcBorders>
          </w:tcPr>
          <w:p>
            <w:pPr>
              <w:spacing w:after="0"/>
              <w:rPr>
                <w:sz w:val="20"/>
                <w:szCs w:val="20"/>
                <w:color w:val="auto"/>
              </w:rPr>
            </w:pP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22, 2014</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22"/>
        </w:trPr>
        <w:tc>
          <w:tcPr>
            <w:tcW w:w="3660" w:type="dxa"/>
            <w:vAlign w:val="bottom"/>
            <w:tcBorders>
              <w:left w:val="single" w:sz="8" w:color="auto"/>
              <w:right w:val="single" w:sz="8" w:color="auto"/>
            </w:tcBorders>
          </w:tcPr>
          <w:p>
            <w:pPr>
              <w:spacing w:after="0"/>
              <w:rPr>
                <w:sz w:val="19"/>
                <w:szCs w:val="19"/>
                <w:color w:val="auto"/>
              </w:rPr>
            </w:pP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Subject to the terms of the Plan and the Restricted Stock</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Award  Agreement  attached  hereto,  the  Period  of</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Restriction shall lapse, and the Shares shall vest and</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become free of the forfeiture provisions contained in the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Restricted Stock Award Agreement, with respect to one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third of the shares on each anniversary of the Effective</w:t>
            </w:r>
          </w:p>
        </w:tc>
      </w:tr>
      <w:tr>
        <w:trPr>
          <w:trHeight w:val="230"/>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Grant.</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252" w:lineRule="exact"/>
        <w:rPr>
          <w:sz w:val="20"/>
          <w:szCs w:val="20"/>
          <w:color w:val="auto"/>
        </w:rPr>
      </w:pPr>
    </w:p>
    <w:p>
      <w:pPr>
        <w:jc w:val="both"/>
        <w:ind w:firstLine="8"/>
        <w:spacing w:after="0" w:line="313"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76" w:lineRule="exact"/>
        <w:rPr>
          <w:rFonts w:ascii="Arial" w:cs="Arial" w:eastAsia="Arial" w:hAnsi="Arial"/>
          <w:sz w:val="18"/>
          <w:szCs w:val="18"/>
          <w:color w:val="auto"/>
        </w:rPr>
      </w:pPr>
    </w:p>
    <w:p>
      <w:pPr>
        <w:jc w:val="both"/>
        <w:ind w:firstLine="8"/>
        <w:spacing w:after="0" w:line="308" w:lineRule="auto"/>
        <w:tabs>
          <w:tab w:leader="none" w:pos="903"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252" w:lineRule="exact"/>
        <w:rPr>
          <w:sz w:val="20"/>
          <w:szCs w:val="20"/>
          <w:color w:val="auto"/>
        </w:rPr>
      </w:pPr>
    </w:p>
    <w:p>
      <w:pPr>
        <w:ind w:right="20" w:firstLine="8"/>
        <w:spacing w:after="0" w:line="329" w:lineRule="auto"/>
        <w:tabs>
          <w:tab w:leader="none" w:pos="933"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65" w:lineRule="exact"/>
        <w:rPr>
          <w:rFonts w:ascii="Arial" w:cs="Arial" w:eastAsia="Arial" w:hAnsi="Arial"/>
          <w:sz w:val="18"/>
          <w:szCs w:val="18"/>
          <w:color w:val="auto"/>
        </w:rPr>
      </w:pPr>
    </w:p>
    <w:p>
      <w:pPr>
        <w:jc w:val="both"/>
        <w:ind w:firstLine="656"/>
        <w:spacing w:after="0" w:line="311" w:lineRule="auto"/>
        <w:tabs>
          <w:tab w:leader="none" w:pos="14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81" w:lineRule="exact"/>
        <w:rPr>
          <w:rFonts w:ascii="Arial" w:cs="Arial" w:eastAsia="Arial" w:hAnsi="Arial"/>
          <w:sz w:val="18"/>
          <w:szCs w:val="18"/>
          <w:color w:val="auto"/>
        </w:rPr>
      </w:pPr>
    </w:p>
    <w:p>
      <w:pPr>
        <w:jc w:val="both"/>
        <w:ind w:firstLine="656"/>
        <w:spacing w:after="0" w:line="289" w:lineRule="auto"/>
        <w:tabs>
          <w:tab w:leader="none" w:pos="15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due to the Grantee’s death or Disability, a portion of the Shares which on the date of termination of employment remain subject to a Time-Based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left="660" w:firstLine="645"/>
        <w:spacing w:after="0" w:line="304" w:lineRule="auto"/>
        <w:tabs>
          <w:tab w:leader="none" w:pos="2226"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88" w:lineRule="exact"/>
        <w:rPr>
          <w:rFonts w:ascii="Arial" w:cs="Arial" w:eastAsia="Arial" w:hAnsi="Arial"/>
          <w:sz w:val="18"/>
          <w:szCs w:val="18"/>
          <w:color w:val="auto"/>
        </w:rPr>
      </w:pPr>
    </w:p>
    <w:p>
      <w:pPr>
        <w:ind w:firstLine="656"/>
        <w:spacing w:after="0" w:line="324" w:lineRule="auto"/>
        <w:tabs>
          <w:tab w:leader="none" w:pos="15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66" w:lineRule="exact"/>
        <w:rPr>
          <w:rFonts w:ascii="Arial" w:cs="Arial" w:eastAsia="Arial" w:hAnsi="Arial"/>
          <w:sz w:val="18"/>
          <w:szCs w:val="18"/>
          <w:color w:val="auto"/>
        </w:rPr>
      </w:pPr>
    </w:p>
    <w:p>
      <w:pPr>
        <w:jc w:val="both"/>
        <w:ind w:firstLine="8"/>
        <w:spacing w:after="0" w:line="347" w:lineRule="auto"/>
        <w:tabs>
          <w:tab w:leader="none" w:pos="916"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Transfer Restrictions</w:t>
      </w:r>
      <w:r>
        <w:rPr>
          <w:rFonts w:ascii="Arial" w:cs="Arial" w:eastAsia="Arial" w:hAnsi="Arial"/>
          <w:sz w:val="16"/>
          <w:szCs w:val="16"/>
          <w:color w:val="auto"/>
        </w:rPr>
        <w:t>. During the Period of Restriction, the Restricted Stock may not be sold, assigned, pledged, exchanged, hypothecated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transferred, encumbered or disposed of, to the extent such Shares are subject to a Period of Restriction. If and when the Grantee is an Officer (as defined in Rule 16a-1(f) of the Exchange Act) or holds the title of President - Eastern Operations, President - Western Operations, President - Agency Operations, or Chief Legal Officer, during the six (6) month period which begins the first day following the date a Period of Restriction lapses, (50%) of the Shares to which the Period of Restrictions has lapsed on such date may not be sold, assigned, pledged, exchanged, hypothecated or otherwise transferred, encumbered or disposed of; provided however that this sentence shall not prohibit the Grantee from exchanging or otherwise</w:t>
      </w:r>
    </w:p>
    <w:p>
      <w:pPr>
        <w:sectPr>
          <w:pgSz w:w="11900" w:h="16838" w:orient="portrait"/>
          <w:cols w:equalWidth="0" w:num="1">
            <w:col w:w="11420"/>
          </w:cols>
          <w:pgMar w:left="240" w:top="580" w:right="239" w:bottom="1440" w:gutter="0" w:footer="0" w:header="0"/>
        </w:sectPr>
      </w:pPr>
    </w:p>
    <w:bookmarkStart w:id="62" w:name="page63"/>
    <w:bookmarkEnd w:id="62"/>
    <w:p>
      <w:pPr>
        <w:spacing w:after="0" w:line="324" w:lineRule="auto"/>
        <w:rPr>
          <w:sz w:val="20"/>
          <w:szCs w:val="20"/>
          <w:color w:val="auto"/>
        </w:rPr>
      </w:pPr>
      <w:r>
        <w:rPr>
          <w:rFonts w:ascii="Arial" w:cs="Arial" w:eastAsia="Arial" w:hAnsi="Arial"/>
          <w:sz w:val="18"/>
          <w:szCs w:val="18"/>
          <w:color w:val="auto"/>
        </w:rPr>
        <w:t>disposing of Shares in connection with a Change of Control or other transaction in which Shares held by other Company shareholders are required to be exchanged or otherwise disposed.</w:t>
      </w:r>
    </w:p>
    <w:p>
      <w:pPr>
        <w:spacing w:after="0" w:line="166" w:lineRule="exact"/>
        <w:rPr>
          <w:sz w:val="20"/>
          <w:szCs w:val="20"/>
          <w:color w:val="auto"/>
        </w:rPr>
      </w:pPr>
    </w:p>
    <w:p>
      <w:pPr>
        <w:jc w:val="both"/>
        <w:ind w:firstLine="8"/>
        <w:spacing w:after="0" w:line="324" w:lineRule="auto"/>
        <w:tabs>
          <w:tab w:leader="none" w:pos="893"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Lapse of Restrictions</w:t>
      </w:r>
      <w:r>
        <w:rPr>
          <w:rFonts w:ascii="Arial" w:cs="Arial" w:eastAsia="Arial" w:hAnsi="Arial"/>
          <w:sz w:val="17"/>
          <w:szCs w:val="17"/>
          <w:color w:val="auto"/>
        </w:rPr>
        <w:t>. The Period of Restriction shall lapse as to the Restricted Stock in accordance with the Notice of Restricted Stock Grant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terms of this Agreement. Subject to the terms of the Plan and Section 6(a) hereof, upon lapse of the Period of Restriction, the Grantee shall own the Shares that are subject to this Agreement free of all restrictions other than the six (6) month holding period following the Period of Restriction as provided in Section 2(b) of this Agreement otherwise imposed by this Agreement.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been forfeited shall lapse.</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b w:val="1"/>
          <w:bCs w:val="1"/>
          <w:color w:val="auto"/>
        </w:rPr>
        <w:t>DIVIDENDS</w:t>
      </w:r>
    </w:p>
    <w:p>
      <w:pPr>
        <w:spacing w:after="0" w:line="256" w:lineRule="exact"/>
        <w:rPr>
          <w:sz w:val="20"/>
          <w:szCs w:val="20"/>
          <w:color w:val="auto"/>
        </w:rPr>
      </w:pPr>
    </w:p>
    <w:p>
      <w:pPr>
        <w:ind w:left="900" w:hanging="892"/>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49" w:lineRule="exact"/>
        <w:rPr>
          <w:rFonts w:ascii="Arial" w:cs="Arial" w:eastAsia="Arial" w:hAnsi="Arial"/>
          <w:sz w:val="16"/>
          <w:szCs w:val="16"/>
          <w:color w:val="auto"/>
        </w:rPr>
      </w:pPr>
    </w:p>
    <w:p>
      <w:pPr>
        <w:ind w:left="920" w:hanging="912"/>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49" w:lineRule="exact"/>
        <w:rPr>
          <w:rFonts w:ascii="Arial" w:cs="Arial" w:eastAsia="Arial" w:hAnsi="Arial"/>
          <w:sz w:val="18"/>
          <w:szCs w:val="18"/>
          <w:color w:val="auto"/>
        </w:rPr>
      </w:pPr>
    </w:p>
    <w:p>
      <w:pPr>
        <w:ind w:firstLine="8"/>
        <w:spacing w:after="0" w:line="297" w:lineRule="auto"/>
        <w:tabs>
          <w:tab w:leader="none" w:pos="8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ind w:left="920" w:hanging="912"/>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8"/>
        <w:spacing w:after="0" w:line="344" w:lineRule="auto"/>
        <w:tabs>
          <w:tab w:leader="none" w:pos="893"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59" w:lineRule="exact"/>
        <w:rPr>
          <w:rFonts w:ascii="Arial" w:cs="Arial" w:eastAsia="Arial" w:hAnsi="Arial"/>
          <w:sz w:val="16"/>
          <w:szCs w:val="16"/>
          <w:color w:val="auto"/>
        </w:rPr>
      </w:pPr>
    </w:p>
    <w:p>
      <w:pPr>
        <w:jc w:val="both"/>
        <w:ind w:firstLine="8"/>
        <w:spacing w:after="0" w:line="313"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76" w:lineRule="exact"/>
        <w:rPr>
          <w:rFonts w:ascii="Arial" w:cs="Arial" w:eastAsia="Arial" w:hAnsi="Arial"/>
          <w:sz w:val="18"/>
          <w:szCs w:val="18"/>
          <w:color w:val="auto"/>
        </w:rPr>
      </w:pPr>
    </w:p>
    <w:p>
      <w:pPr>
        <w:ind w:firstLine="8"/>
        <w:spacing w:after="0" w:line="329" w:lineRule="auto"/>
        <w:tabs>
          <w:tab w:leader="none" w:pos="90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Any notice required by the terms of this Agreement shall be given in writing and shall be deemed effective upon personal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upon deposit with the United States Postal Service, by registered or certified mail, with postage and fees</w:t>
      </w:r>
    </w:p>
    <w:p>
      <w:pPr>
        <w:sectPr>
          <w:pgSz w:w="11900" w:h="16838" w:orient="portrait"/>
          <w:cols w:equalWidth="0" w:num="1">
            <w:col w:w="11420"/>
          </w:cols>
          <w:pgMar w:left="240" w:top="611" w:right="239" w:bottom="1440" w:gutter="0" w:footer="0" w:header="0"/>
        </w:sectPr>
      </w:pPr>
    </w:p>
    <w:bookmarkStart w:id="63" w:name="page64"/>
    <w:bookmarkEnd w:id="63"/>
    <w:p>
      <w:pPr>
        <w:spacing w:after="0" w:line="324" w:lineRule="auto"/>
        <w:rPr>
          <w:sz w:val="20"/>
          <w:szCs w:val="20"/>
          <w:color w:val="auto"/>
        </w:rPr>
      </w:pPr>
      <w:r>
        <w:rPr>
          <w:rFonts w:ascii="Arial" w:cs="Arial" w:eastAsia="Arial" w:hAnsi="Arial"/>
          <w:sz w:val="18"/>
          <w:szCs w:val="18"/>
          <w:color w:val="auto"/>
        </w:rPr>
        <w:t>prepaid. Notice shall be addressed to the Company at its principal executive office and to the Grantee at the address that he or she most recently provided in writing to the Company.</w:t>
      </w:r>
    </w:p>
    <w:p>
      <w:pPr>
        <w:spacing w:after="0" w:line="166" w:lineRule="exact"/>
        <w:rPr>
          <w:sz w:val="20"/>
          <w:szCs w:val="20"/>
          <w:color w:val="auto"/>
        </w:rPr>
      </w:pPr>
    </w:p>
    <w:p>
      <w:pPr>
        <w:jc w:val="both"/>
        <w:ind w:firstLine="8"/>
        <w:spacing w:after="0" w:line="313"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6" w:lineRule="exact"/>
        <w:rPr>
          <w:rFonts w:ascii="Arial" w:cs="Arial" w:eastAsia="Arial" w:hAnsi="Arial"/>
          <w:sz w:val="18"/>
          <w:szCs w:val="18"/>
          <w:color w:val="auto"/>
        </w:rPr>
      </w:pPr>
    </w:p>
    <w:p>
      <w:pPr>
        <w:jc w:val="both"/>
        <w:ind w:firstLine="8"/>
        <w:spacing w:after="0" w:line="351" w:lineRule="auto"/>
        <w:tabs>
          <w:tab w:leader="none" w:pos="893"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Subject to, and in accordance with the provisions of Article 3 of the Plan, any dispute or claim arising out of or relating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Indiana, without regard to internal principles relating to conflict of laws.</w:t>
      </w:r>
    </w:p>
    <w:p>
      <w:pPr>
        <w:spacing w:after="0" w:line="153" w:lineRule="exact"/>
        <w:rPr>
          <w:rFonts w:ascii="Arial" w:cs="Arial" w:eastAsia="Arial" w:hAnsi="Arial"/>
          <w:sz w:val="16"/>
          <w:szCs w:val="16"/>
          <w:color w:val="auto"/>
        </w:rPr>
      </w:pPr>
    </w:p>
    <w:p>
      <w:pPr>
        <w:ind w:firstLine="8"/>
        <w:spacing w:after="0" w:line="329" w:lineRule="auto"/>
        <w:tabs>
          <w:tab w:leader="none" w:pos="873"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spacing w:after="0" w:line="161" w:lineRule="exact"/>
        <w:rPr>
          <w:rFonts w:ascii="Arial" w:cs="Arial" w:eastAsia="Arial" w:hAnsi="Arial"/>
          <w:sz w:val="18"/>
          <w:szCs w:val="18"/>
          <w:color w:val="auto"/>
        </w:rPr>
      </w:pPr>
    </w:p>
    <w:p>
      <w:pPr>
        <w:jc w:val="both"/>
        <w:ind w:firstLine="8"/>
        <w:spacing w:after="0" w:line="313" w:lineRule="auto"/>
        <w:tabs>
          <w:tab w:leader="none" w:pos="91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65"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61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grant is subject to a Time-Based Restriction, as described below (collectively, the “Period of Restriction”).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 Restrictions</w:t>
      </w:r>
    </w:p>
    <w:p>
      <w:pPr>
        <w:spacing w:after="0" w:line="359"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Anniversary Date</w:t>
            </w:r>
          </w:p>
        </w:tc>
        <w:tc>
          <w:tcPr>
            <w:tcW w:w="4220" w:type="dxa"/>
            <w:vAlign w:val="bottom"/>
            <w:tcBorders>
              <w:top w:val="single" w:sz="8" w:color="auto"/>
              <w:right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 of Restricted Stock</w:t>
            </w: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64"/>
        </w:trPr>
        <w:tc>
          <w:tcPr>
            <w:tcW w:w="47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422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color w:val="auto"/>
                <w:w w:val="91"/>
              </w:rPr>
              <w:t>33.33%</w:t>
            </w:r>
          </w:p>
        </w:tc>
      </w:tr>
      <w:tr>
        <w:trPr>
          <w:trHeight w:val="264"/>
        </w:trPr>
        <w:tc>
          <w:tcPr>
            <w:tcW w:w="47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Second (2</w:t>
            </w:r>
            <w:r>
              <w:rPr>
                <w:rFonts w:ascii="Arial" w:cs="Arial" w:eastAsia="Arial" w:hAnsi="Arial"/>
                <w:sz w:val="25"/>
                <w:szCs w:val="25"/>
                <w:color w:val="auto"/>
                <w:vertAlign w:val="superscript"/>
              </w:rPr>
              <w:t>nd</w:t>
            </w:r>
            <w:r>
              <w:rPr>
                <w:rFonts w:ascii="Arial" w:cs="Arial" w:eastAsia="Arial" w:hAnsi="Arial"/>
                <w:sz w:val="18"/>
                <w:szCs w:val="18"/>
                <w:color w:val="auto"/>
              </w:rPr>
              <w:t>) anniversary of the Effective Date of Grant</w:t>
            </w:r>
          </w:p>
        </w:tc>
        <w:tc>
          <w:tcPr>
            <w:tcW w:w="422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color w:val="auto"/>
                <w:w w:val="91"/>
              </w:rPr>
              <w:t>33.33%</w:t>
            </w:r>
          </w:p>
        </w:tc>
      </w:tr>
      <w:tr>
        <w:trPr>
          <w:trHeight w:val="264"/>
        </w:trPr>
        <w:tc>
          <w:tcPr>
            <w:tcW w:w="47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422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color w:val="auto"/>
                <w:w w:val="91"/>
              </w:rPr>
              <w:t>33.34%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80" w:right="239" w:bottom="1440" w:gutter="0" w:footer="0" w:header="0"/>
        </w:sectPr>
      </w:pPr>
    </w:p>
    <w:bookmarkStart w:id="65" w:name="page66"/>
    <w:bookmarkEnd w:id="65"/>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Ventures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Investment Success Incentive Award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You (the “</w:t>
      </w:r>
      <w:r>
        <w:rPr>
          <w:rFonts w:ascii="Arial" w:cs="Arial" w:eastAsia="Arial" w:hAnsi="Arial"/>
          <w:sz w:val="16"/>
          <w:szCs w:val="16"/>
          <w:u w:val="single" w:color="auto"/>
          <w:color w:val="auto"/>
        </w:rPr>
        <w:t>Grantee</w:t>
      </w:r>
      <w:r>
        <w:rPr>
          <w:rFonts w:ascii="Arial" w:cs="Arial" w:eastAsia="Arial" w:hAnsi="Arial"/>
          <w:sz w:val="16"/>
          <w:szCs w:val="16"/>
          <w:color w:val="auto"/>
        </w:rPr>
        <w:t>”) have been granted the following Fidelity National Financial Ventures Investment Success Incentive Award (the “</w:t>
      </w:r>
      <w:r>
        <w:rPr>
          <w:rFonts w:ascii="Arial" w:cs="Arial" w:eastAsia="Arial" w:hAnsi="Arial"/>
          <w:sz w:val="16"/>
          <w:szCs w:val="16"/>
          <w:u w:val="single" w:color="auto"/>
          <w:color w:val="auto"/>
        </w:rPr>
        <w:t>Award</w:t>
      </w:r>
      <w:r>
        <w:rPr>
          <w:rFonts w:ascii="Arial" w:cs="Arial" w:eastAsia="Arial" w:hAnsi="Arial"/>
          <w:sz w:val="16"/>
          <w:szCs w:val="16"/>
          <w:color w:val="auto"/>
        </w:rPr>
        <w: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Fidelity National Financial, Inc. 2005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00" w:lineRule="exact"/>
        <w:rPr>
          <w:sz w:val="20"/>
          <w:szCs w:val="20"/>
          <w:color w:val="auto"/>
        </w:rPr>
      </w:pPr>
    </w:p>
    <w:p>
      <w:pPr>
        <w:spacing w:after="0" w:line="356" w:lineRule="exact"/>
        <w:rPr>
          <w:sz w:val="20"/>
          <w:szCs w:val="20"/>
          <w:color w:val="auto"/>
        </w:rPr>
      </w:pPr>
    </w:p>
    <w:tbl>
      <w:tblPr>
        <w:tblLayout w:type="fixed"/>
        <w:tblInd w:w="1490" w:type="dxa"/>
        <w:tblCellMar>
          <w:top w:w="0" w:type="dxa"/>
          <w:left w:w="0" w:type="dxa"/>
          <w:bottom w:w="0" w:type="dxa"/>
          <w:right w:w="0" w:type="dxa"/>
        </w:tblCellMar>
      </w:tblPr>
      <w:tr>
        <w:trPr>
          <w:trHeight w:val="257"/>
        </w:trPr>
        <w:tc>
          <w:tcPr>
            <w:tcW w:w="4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4460" w:type="dxa"/>
            <w:vAlign w:val="bottom"/>
            <w:tcBorders>
              <w:top w:val="single" w:sz="8" w:color="auto"/>
              <w:right w:val="single" w:sz="8" w:color="auto"/>
            </w:tcBorders>
          </w:tcPr>
          <w:p>
            <w:pPr>
              <w:spacing w:after="0"/>
              <w:rPr>
                <w:sz w:val="22"/>
                <w:szCs w:val="22"/>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37"/>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July 21, 2014</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37"/>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Liquidity Events: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Appendix A</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37"/>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 of ROI Incentive Pool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your signature and the signature of the Company’s representative below, you and Fidelity National Financial, Inc. (the “</w:t>
      </w:r>
      <w:r>
        <w:rPr>
          <w:rFonts w:ascii="Arial" w:cs="Arial" w:eastAsia="Arial" w:hAnsi="Arial"/>
          <w:sz w:val="18"/>
          <w:szCs w:val="18"/>
          <w:u w:val="single" w:color="auto"/>
          <w:color w:val="auto"/>
        </w:rPr>
        <w:t>Company</w:t>
      </w:r>
      <w:r>
        <w:rPr>
          <w:rFonts w:ascii="Arial" w:cs="Arial" w:eastAsia="Arial" w:hAnsi="Arial"/>
          <w:sz w:val="18"/>
          <w:szCs w:val="18"/>
          <w:color w:val="auto"/>
        </w:rPr>
        <w:t>”) agree and acknowledge that the Award is granted under and governed by the terms and conditions of the Plan, this Notice of Investment Success Incentive Award (including Appendix A, the “</w:t>
      </w:r>
      <w:r>
        <w:rPr>
          <w:rFonts w:ascii="Arial" w:cs="Arial" w:eastAsia="Arial" w:hAnsi="Arial"/>
          <w:sz w:val="18"/>
          <w:szCs w:val="18"/>
          <w:u w:val="single" w:color="auto"/>
          <w:color w:val="auto"/>
        </w:rPr>
        <w:t>Notice</w:t>
      </w:r>
      <w:r>
        <w:rPr>
          <w:rFonts w:ascii="Arial" w:cs="Arial" w:eastAsia="Arial" w:hAnsi="Arial"/>
          <w:sz w:val="18"/>
          <w:szCs w:val="18"/>
          <w:color w:val="auto"/>
        </w:rPr>
        <w:t>”) and the Investment Success Incentive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which are incorporated herein by reference, and that you have been provided a copy of the Plan, the Notice and the Award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Grantee:</w:t>
            </w: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Fidelity National Financial, Inc.</w:t>
            </w:r>
          </w:p>
        </w:tc>
      </w:tr>
      <w:tr>
        <w:trPr>
          <w:trHeight w:val="716"/>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900" w:type="dxa"/>
            <w:vAlign w:val="bottom"/>
            <w:tcBorders>
              <w:bottom w:val="single" w:sz="8" w:color="auto"/>
            </w:tcBorders>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By: __________________________</w:t>
            </w:r>
          </w:p>
        </w:tc>
      </w:tr>
      <w:tr>
        <w:trPr>
          <w:trHeight w:val="222"/>
        </w:trPr>
        <w:tc>
          <w:tcPr>
            <w:tcW w:w="1220" w:type="dxa"/>
            <w:vAlign w:val="bottom"/>
            <w:gridSpan w:val="2"/>
          </w:tcPr>
          <w:p>
            <w:pPr>
              <w:spacing w:after="0"/>
              <w:rPr>
                <w:sz w:val="20"/>
                <w:szCs w:val="20"/>
                <w:color w:val="auto"/>
              </w:rPr>
            </w:pPr>
            <w:r>
              <w:rPr>
                <w:rFonts w:ascii="Arial" w:cs="Arial" w:eastAsia="Arial" w:hAnsi="Arial"/>
                <w:sz w:val="18"/>
                <w:szCs w:val="18"/>
                <w:color w:val="auto"/>
              </w:rPr>
              <w:t>Print Name: [•]</w:t>
            </w:r>
          </w:p>
        </w:tc>
        <w:tc>
          <w:tcPr>
            <w:tcW w:w="820" w:type="dxa"/>
            <w:vAlign w:val="bottom"/>
          </w:tcPr>
          <w:p>
            <w:pPr>
              <w:spacing w:after="0"/>
              <w:rPr>
                <w:sz w:val="19"/>
                <w:szCs w:val="19"/>
                <w:color w:val="auto"/>
              </w:rPr>
            </w:pPr>
          </w:p>
        </w:tc>
        <w:tc>
          <w:tcPr>
            <w:tcW w:w="2180" w:type="dxa"/>
            <w:vAlign w:val="bottom"/>
          </w:tcPr>
          <w:p>
            <w:pPr>
              <w:jc w:val="right"/>
              <w:ind w:right="830"/>
              <w:spacing w:after="0"/>
              <w:rPr>
                <w:sz w:val="20"/>
                <w:szCs w:val="20"/>
                <w:color w:val="auto"/>
              </w:rPr>
            </w:pPr>
            <w:r>
              <w:rPr>
                <w:rFonts w:ascii="Arial" w:cs="Arial" w:eastAsia="Arial" w:hAnsi="Arial"/>
                <w:sz w:val="18"/>
                <w:szCs w:val="18"/>
                <w:color w:val="auto"/>
              </w:rPr>
              <w:t>Print Name: [•]</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w w:val="97"/>
              </w:rPr>
              <w:t>Date: September [•], 2014</w:t>
            </w:r>
          </w:p>
        </w:tc>
        <w:tc>
          <w:tcPr>
            <w:tcW w:w="2180" w:type="dxa"/>
            <w:vAlign w:val="bottom"/>
          </w:tcPr>
          <w:p>
            <w:pPr>
              <w:jc w:val="right"/>
              <w:ind w:right="890"/>
              <w:spacing w:after="0"/>
              <w:rPr>
                <w:sz w:val="20"/>
                <w:szCs w:val="20"/>
                <w:color w:val="auto"/>
              </w:rPr>
            </w:pPr>
            <w:r>
              <w:rPr>
                <w:rFonts w:ascii="Arial" w:cs="Arial" w:eastAsia="Arial" w:hAnsi="Arial"/>
                <w:sz w:val="18"/>
                <w:szCs w:val="18"/>
                <w:color w:val="auto"/>
              </w:rPr>
              <w:t>Its: [•]</w:t>
            </w:r>
          </w:p>
        </w:tc>
      </w:t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Address:   [•]</w:t>
            </w:r>
          </w:p>
        </w:tc>
        <w:tc>
          <w:tcPr>
            <w:tcW w:w="82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and Purpose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Award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Award is a performance-based, cash incentive award that provides the Grantee the opportunity to share in the Company’s “ROI” (as defined below) with respect to its interests in the following entities:</w:t>
      </w:r>
    </w:p>
    <w:p>
      <w:pPr>
        <w:spacing w:after="0" w:line="170"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Remy International, Inc. (“</w:t>
      </w:r>
      <w:r>
        <w:rPr>
          <w:rFonts w:ascii="Arial" w:cs="Arial" w:eastAsia="Arial" w:hAnsi="Arial"/>
          <w:sz w:val="18"/>
          <w:szCs w:val="18"/>
          <w:u w:val="single" w:color="auto"/>
          <w:color w:val="auto"/>
        </w:rPr>
        <w:t>Remy</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0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American Blue Ribbon Holdings, LLC (“</w:t>
      </w:r>
      <w:r>
        <w:rPr>
          <w:rFonts w:ascii="Arial" w:cs="Arial" w:eastAsia="Arial" w:hAnsi="Arial"/>
          <w:sz w:val="18"/>
          <w:szCs w:val="18"/>
          <w:u w:val="single" w:color="auto"/>
          <w:color w:val="auto"/>
        </w:rPr>
        <w:t>ABRH</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 Alexander’s Holdings LLC (“</w:t>
      </w:r>
      <w:r>
        <w:rPr>
          <w:rFonts w:ascii="Arial" w:cs="Arial" w:eastAsia="Arial" w:hAnsi="Arial"/>
          <w:sz w:val="18"/>
          <w:szCs w:val="18"/>
          <w:u w:val="single" w:color="auto"/>
          <w:color w:val="auto"/>
        </w:rPr>
        <w:t>J. Alexander’s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Ceridian HCM, Inc. (“</w:t>
      </w:r>
      <w:r>
        <w:rPr>
          <w:rFonts w:ascii="Arial" w:cs="Arial" w:eastAsia="Arial" w:hAnsi="Arial"/>
          <w:sz w:val="18"/>
          <w:szCs w:val="18"/>
          <w:u w:val="single" w:color="auto"/>
          <w:color w:val="auto"/>
        </w:rPr>
        <w:t>Ceridian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Comdata Inc. (“</w:t>
      </w:r>
      <w:r>
        <w:rPr>
          <w:rFonts w:ascii="Arial" w:cs="Arial" w:eastAsia="Arial" w:hAnsi="Arial"/>
          <w:sz w:val="18"/>
          <w:szCs w:val="18"/>
          <w:u w:val="single" w:color="auto"/>
          <w:color w:val="auto"/>
        </w:rPr>
        <w:t>Comdata</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Digital Insurance, Inc. (“</w:t>
      </w:r>
      <w:r>
        <w:rPr>
          <w:rFonts w:ascii="Arial" w:cs="Arial" w:eastAsia="Arial" w:hAnsi="Arial"/>
          <w:sz w:val="18"/>
          <w:szCs w:val="18"/>
          <w:u w:val="single" w:color="auto"/>
          <w:color w:val="auto"/>
        </w:rPr>
        <w:t>Digital Insurance</w:t>
      </w:r>
      <w:r>
        <w:rPr>
          <w:rFonts w:ascii="Arial" w:cs="Arial" w:eastAsia="Arial" w:hAnsi="Arial"/>
          <w:sz w:val="18"/>
          <w:szCs w:val="18"/>
          <w:color w:val="auto"/>
        </w:rPr>
        <w:t>”).</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Each of the foregoing entities is referred to herein as a “</w:t>
      </w:r>
      <w:r>
        <w:rPr>
          <w:rFonts w:ascii="Arial" w:cs="Arial" w:eastAsia="Arial" w:hAnsi="Arial"/>
          <w:sz w:val="16"/>
          <w:szCs w:val="16"/>
          <w:u w:val="single" w:color="auto"/>
          <w:color w:val="auto"/>
        </w:rPr>
        <w:t>Portfolio Company</w:t>
      </w:r>
      <w:r>
        <w:rPr>
          <w:rFonts w:ascii="Arial" w:cs="Arial" w:eastAsia="Arial" w:hAnsi="Arial"/>
          <w:sz w:val="16"/>
          <w:szCs w:val="16"/>
          <w:color w:val="auto"/>
        </w:rPr>
        <w:t>” and, together, they are referred to as the “</w:t>
      </w:r>
      <w:r>
        <w:rPr>
          <w:rFonts w:ascii="Arial" w:cs="Arial" w:eastAsia="Arial" w:hAnsi="Arial"/>
          <w:sz w:val="16"/>
          <w:szCs w:val="16"/>
          <w:u w:val="single" w:color="auto"/>
          <w:color w:val="auto"/>
        </w:rPr>
        <w:t>Portfolio Companies</w:t>
      </w:r>
      <w:r>
        <w:rPr>
          <w:rFonts w:ascii="Arial" w:cs="Arial" w:eastAsia="Arial" w:hAnsi="Arial"/>
          <w:sz w:val="16"/>
          <w:szCs w:val="16"/>
          <w:color w:val="auto"/>
        </w:rPr>
        <w:t>.” The shares or membership interests (as applicable) held by the Company in the Portfolio Companies (and any securities into which or in exchange for which such shares or membership interests are converted or exchanged in connection with a recapitalization, share exchange, merger, reorganization, equity restructuring or other similar transaction, as well as any additional securities issued to the Company in respect of such shares or membership interests (including, by way of example, stock dividends or shares of a Portfolio company’s subsidiary issued to the Company in a spin off)) are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the extent a “Liquidity Event” (defined below) occurs with respect to a Portfolio Company between July 1, 2014 and December 31, 2018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ten (10%) percent of any ROI relating to such Liquidity Event (calculated as described below) will be credited to a notional incentive pool established for purposes of this program (the “</w:t>
      </w:r>
      <w:r>
        <w:rPr>
          <w:rFonts w:ascii="Arial" w:cs="Arial" w:eastAsia="Arial" w:hAnsi="Arial"/>
          <w:sz w:val="16"/>
          <w:szCs w:val="16"/>
          <w:u w:val="single" w:color="auto"/>
          <w:color w:val="auto"/>
        </w:rPr>
        <w:t>ROI Incentive Pool</w:t>
      </w:r>
      <w:r>
        <w:rPr>
          <w:rFonts w:ascii="Arial" w:cs="Arial" w:eastAsia="Arial" w:hAnsi="Arial"/>
          <w:sz w:val="16"/>
          <w:szCs w:val="16"/>
          <w:color w:val="auto"/>
        </w:rPr>
        <w:t>”), and, to the extent the other “Payment Conditions” (described below) are satisfied, the Grantee will be entitled to receive a payment based on the Grantee’s Share of the ROI Incentive Pool (as reflect on the first page of the Notice).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Award is to help the Company maximize its ROI with respect to the Portfolio Companies by aligning a portion of the Grantee’s long-term incentive compensation with the Company’s ROI relating to each Portfolio Company. The Award is also designed to aid in retention of the Grantee by imposing service-based vesting conditions on payments under the Award.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Events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Payments will only be made under the Award if a “Liquidity Event” occurs during the Performance Period (and the other conditions described herein are satisfied). For purposes of the Award, a “</w:t>
      </w:r>
      <w:r>
        <w:rPr>
          <w:rFonts w:ascii="Arial" w:cs="Arial" w:eastAsia="Arial" w:hAnsi="Arial"/>
          <w:sz w:val="17"/>
          <w:szCs w:val="17"/>
          <w:u w:val="single" w:color="auto"/>
          <w:color w:val="auto"/>
        </w:rPr>
        <w:t>Liquidity Event</w:t>
      </w:r>
      <w:r>
        <w:rPr>
          <w:rFonts w:ascii="Arial" w:cs="Arial" w:eastAsia="Arial" w:hAnsi="Arial"/>
          <w:sz w:val="17"/>
          <w:szCs w:val="17"/>
          <w:color w:val="auto"/>
        </w:rPr>
        <w:t>” means (a) a Public Offering (defined below) of the Securities of a Portfolio Company, (b) a sale or other disposition of the Securities of a Portfolio Company (whether pursuant to a merger or other transaction) in connection with which consideration (whether cash or securities) is received or receivable by the Company, (c) a spin off, split off or similar transaction in connection with which the Company’s stockholders receive Securities of a Portfolio Company, (d) a disposition of all or substantially all of the assets of a Portfolio Company in connection with which proceeds from such sale or disposition are paid or payable to the Company, (e) a recapitalization of a Portfolio Company in connection with which an extraordinary dividend or return of capital is paid to the Company (provided the amount of such extraordinary dividend or return of capital exceeds the “Base Value” (as defined below) of the Securities), (f) any other transaction or event (other payment of ordinary dividends) in connection with which the ROI on the Portfolio Company investment can be determined by third party observable measures (such as a public stock price) or (g) a Change in Control that occurs on or after July 1, 2015.</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the Award, the term “</w:t>
      </w:r>
      <w:r>
        <w:rPr>
          <w:rFonts w:ascii="Arial" w:cs="Arial" w:eastAsia="Arial" w:hAnsi="Arial"/>
          <w:sz w:val="17"/>
          <w:szCs w:val="17"/>
          <w:u w:val="single" w:color="auto"/>
          <w:color w:val="auto"/>
        </w:rPr>
        <w:t>Public Offering</w:t>
      </w:r>
      <w:r>
        <w:rPr>
          <w:rFonts w:ascii="Arial" w:cs="Arial" w:eastAsia="Arial" w:hAnsi="Arial"/>
          <w:sz w:val="17"/>
          <w:szCs w:val="17"/>
          <w:color w:val="auto"/>
        </w:rPr>
        <w:t>” means an initial public offering or any subsequent public offering of the Securities of a Portfolio Company pursuant to a registration statement under the Securities Act of 1933, as amended, which public offering has been declared effective by the Securities and Exchange Commission (or, in the case of an Up-C or similar structure, such an initial public offering of the securities of an affiliate of the Portfolio Company). If the Company retains any Securities in a Portfolio Company following a Public Offering of such Portfolio Company’s Securities, a subsequent Liquidity Event may occur with respect to such retained Securities; provided, however, that the Base Amount of such retained Securities shall be increased at the time of the Public Offering to equal the value of the Securities at the time of the Public Offering (with such value determined as described below under “ROI”), so that no amount is credited or paid twice on the same ROI.</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avoidance of doubt, a Liquidity Event described above shall be deemed to occur whether or not (i) the Company has disposed of its Securities in connection with such Liquidity Event (ii) the Company is subject to a lockup or other restriction on transfer or disposition of the Securities (provided that such restriction on transfer or disposition is temporary) and/or (iii) the</w:t>
      </w:r>
    </w:p>
    <w:p>
      <w:pPr>
        <w:sectPr>
          <w:pgSz w:w="11900" w:h="16838" w:orient="portrait"/>
          <w:cols w:equalWidth="0" w:num="1">
            <w:col w:w="11420"/>
          </w:cols>
          <w:pgMar w:left="240" w:top="580" w:right="239" w:bottom="1440" w:gutter="0" w:footer="0" w:header="0"/>
        </w:sectPr>
      </w:pPr>
    </w:p>
    <w:bookmarkStart w:id="67" w:name="page68"/>
    <w:bookmarkEnd w:id="67"/>
    <w:p>
      <w:pPr>
        <w:ind w:right="20"/>
        <w:spacing w:after="0" w:line="277" w:lineRule="auto"/>
        <w:rPr>
          <w:sz w:val="20"/>
          <w:szCs w:val="20"/>
          <w:color w:val="auto"/>
        </w:rPr>
      </w:pPr>
      <w:r>
        <w:rPr>
          <w:rFonts w:ascii="Arial" w:cs="Arial" w:eastAsia="Arial" w:hAnsi="Arial"/>
          <w:sz w:val="18"/>
          <w:szCs w:val="18"/>
          <w:color w:val="auto"/>
        </w:rPr>
        <w:t>consideration (or part of the consideration) payable to the Company is subject to contingencies (including, by way of example, a transaction in which part of the transaction consideration is contingent upon an earnout and/or held in escrow to satisfy indemnity claims).</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ROI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Award, “</w:t>
      </w:r>
      <w:r>
        <w:rPr>
          <w:rFonts w:ascii="Arial" w:cs="Arial" w:eastAsia="Arial" w:hAnsi="Arial"/>
          <w:sz w:val="18"/>
          <w:szCs w:val="18"/>
          <w:u w:val="single" w:color="auto"/>
          <w:color w:val="auto"/>
        </w:rPr>
        <w:t>ROI</w:t>
      </w:r>
      <w:r>
        <w:rPr>
          <w:rFonts w:ascii="Arial" w:cs="Arial" w:eastAsia="Arial" w:hAnsi="Arial"/>
          <w:sz w:val="18"/>
          <w:szCs w:val="18"/>
          <w:color w:val="auto"/>
        </w:rPr>
        <w:t>” means the excess, if any, of “A” over “B,”</w:t>
      </w:r>
    </w:p>
    <w:p>
      <w:pPr>
        <w:spacing w:after="0" w:line="225" w:lineRule="exact"/>
        <w:rPr>
          <w:sz w:val="20"/>
          <w:szCs w:val="20"/>
          <w:color w:val="auto"/>
        </w:rPr>
      </w:pPr>
    </w:p>
    <w:p>
      <w:pPr>
        <w:jc w:val="both"/>
        <w:ind w:left="1300" w:hanging="320"/>
        <w:spacing w:after="0" w:line="283"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where “A” equals, as the case may be, (i) the amount of cash (or Fair Market Value of security or other property) received or receivable by the Company in connection with a Liquidity Event (other than a Public Offering, a spin off, split off or similar transaction in connection with which the Company’s stockholders receive Securities of a Portfolio Company, or a Change in Control), (ii) in the case of a Public Offering, the fair market value (determined as described below) of the Securities of the Portfolio Company with respect to which the Public Offering is occurring that are held (directly or indirectly) by the Company immediately before the Public Offering, (iii) in the case of a spin off, split off or similar transaction in connection with which the Company’s stockholders receive Securities of a Portfolio Company, the fair market value (determined as described below) of the Securities of the Portfolio Company with respect to which the spin off, split off or similar transaction is occurring that are held (directly or indirectly) by the Company immediately before the spin off, split off or similar transaction (regardless of the number of such Securities actually distributed to the Company’s stockholders), and (iv) in the case of a Change in Control that constitutes a Liquidity Event, the fair market value (determined as of immediately before the Change in Control) of the aggregate of the Company’s investments in the Portfolio Companies held (directly or indirectly) by the Company immediately before the Change in Control, in each case, together with the amount of cash (other than ordinary dividends) and the Fair Market Value of securities or other property received during the Performance Period and prior to the Liquidity Event (to the extent not previously taken into account under the Award) for or with respect to the Securities of the Portfolio Company with respect to which the Liquidity Event occurs, including, by way of example, extraordinary dividends or returns of capital that do not constitute Liquidity Events, and</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 equals the Base Amount (as defined below) of the Securities with respect to which the Liquidity Event occurs.</w:t>
      </w:r>
    </w:p>
    <w:p>
      <w:pPr>
        <w:spacing w:after="0" w:line="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Except as otherwise provided below in this paragraph, to the extent a sale occurs with respect to less than all of the Securities of a Portfolio Company then held (directly or indirectly) by the Company, ROI shall be measured solely with respect to the Securities that are sold. For example, if the Company sells 50% of the total Securities it holds in a Portfolio Company, ROI shall be based on the excess, if any, of the consideration received or receivable with respect to the sold Securities, over the portion of the Base Amount allocable to such sold Securities. In the case of a Public Offering or a spin off, split off or similar transaction, the Liquidity Event shall be treated as occurring with respect to all of the Securities of the Portfolio Company held by the Company immediately before such event or transaction. In the case of a Change in Control that occurs on or after July 1, 2015, the Liquidity Event shall be treated as occurring with respect to the aggregate of the Company’s investments in the Portfolio Companies held by the Company immediately before the Change in Control.</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the extent any consideration receivable by the Company for or in respect of Securities in connection with a Liquidity Event is subject to contingencies or the payment of such consideration is delayed (including, by way of example, pursuant to an earnout or indemnity escrow), the maximum amount that could be received by the Company shall be treated as received or receivable when calculating ROI; provided, however, that the Committee may, through its exercise of negative discretion, determine whether and to what extent such consideration should not be so taken into account when calculating ROI (or, alternatively, the extent to which any crediting of the ROI Incentive Pool and/or the Grantee’s Award Account should, instead, be banked (as described below)), taking into account, among other factors, the likelihood that such amounts will be realized by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Market Value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case of a Public Offering, the fair market value of the Securities of the Portfolio Company with respect to which the Public Offering is occurring shall be based on the implied value of the Portfolio Company’s Securities held by the Company immediately before the Public Offering (based on the volume weighted average trading price of the securities offered in the Public Offering over the first three trading days following the Public Offering) and shall include the aggregate fair market value of all of the Securities of the applicable Portfolio Company then held (directly or indirectly) by the Company, regardless of whether and when the Company sells such Securities in the Public Offering and regardless of whether the Company is subject to a lockup or other restriction on transfer or disposition of the Securities (provided that such restriction on transfer or disposition is temporary); provided, however, that the Committee may, through its exercise of negative discretion, determine whether and to what extent such a lockup or other restriction on transfer or disposition should reduce the amount taken into account when calculating ROI (or, alternatively, the extent to which any crediting of the ROI Incentive Pool and/or the Grantee’s Award Account should, instead,</w:t>
      </w:r>
    </w:p>
    <w:p>
      <w:pPr>
        <w:sectPr>
          <w:pgSz w:w="11900" w:h="16838" w:orient="portrait"/>
          <w:cols w:equalWidth="0" w:num="1">
            <w:col w:w="11420"/>
          </w:cols>
          <w:pgMar w:left="240" w:top="584" w:right="239" w:bottom="1440" w:gutter="0" w:footer="0" w:header="0"/>
        </w:sectPr>
      </w:pPr>
    </w:p>
    <w:bookmarkStart w:id="68" w:name="page69"/>
    <w:bookmarkEnd w:id="68"/>
    <w:p>
      <w:pPr>
        <w:jc w:val="both"/>
        <w:spacing w:after="0" w:line="276" w:lineRule="auto"/>
        <w:rPr>
          <w:sz w:val="20"/>
          <w:szCs w:val="20"/>
          <w:color w:val="auto"/>
        </w:rPr>
      </w:pPr>
      <w:r>
        <w:rPr>
          <w:rFonts w:ascii="Arial" w:cs="Arial" w:eastAsia="Arial" w:hAnsi="Arial"/>
          <w:sz w:val="17"/>
          <w:szCs w:val="17"/>
          <w:color w:val="auto"/>
        </w:rPr>
        <w:t>be banked (as described below)). For example, if (x) the Portfolio Company has 10 million shares of common stock outstanding immediately following the Public Offering, (y) the Company owns 4 million shares (40%) immediately prior to the Public Offering, with a Base Amount of $100 million, and (z) the volume weighted average trading price of the Portfolio Company’s securities offered in the Public Offering over the first three trading days following the Public Offering is $35.00, the implied fair market value of the Portfolio Company would be $350 million and the resulting ROI would be $40 million ($140 million (40% of $350 million), less the $100 million Base Amount), subject to the Committee’s authority to reduce such ROI in its sole discretion.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case of a spin off, split off or similar transaction in connection with which the Company’s stockholders receive Securities of a Portfolio Company, the fair market value (determined as described below) of the Securities of the Portfolio Company with respect to which the spin off, split off or similar transaction is occurring will be based on the implied value of all of the Portfolio Company’s Securities held by the Company immediately before the spin off, split off or similar transaction (based on the volume weighted average trading price of the Portfolio Company’s Securities over the first three trading days following the spin off, split off or similar transaction).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case of a Change in Control that constitutes a Liquidity Event, the fair market value (determined as of immediately before the Change in Control) of the aggregate of the Company’s investments in the Portfolio Companies held (directly or indirectly) by the Company immediately before the Change in Control will be determined in the case of (x) publicly-traded Securities, based on the volume weighted average trading price of the Securities over the first three trading days preceding the Change in Control and (y) Investments or Securities that are not publicly traded, based on the Fair Market Value of such Securities as determined in good faith by the Committee before the Change in Control.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limiting the foregoing, the Committee may, in its sole and absolute discretion, exclude from any ROI calculation any amounts to the extent it determines that inclusion of such amounts would be inconsistent with the spirit and intent of the Award or for any other reason. The Committee’s determination of ROI shall be final and binding.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Amounts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the Award, the values of the Securities held by the Company in each of the Portfolio Companies as of July 1, 2014 (the “</w:t>
      </w:r>
      <w:r>
        <w:rPr>
          <w:rFonts w:ascii="Arial" w:cs="Arial" w:eastAsia="Arial" w:hAnsi="Arial"/>
          <w:sz w:val="18"/>
          <w:szCs w:val="18"/>
          <w:u w:val="single" w:color="auto"/>
          <w:color w:val="auto"/>
        </w:rPr>
        <w:t>Base Amounts</w:t>
      </w:r>
      <w:r>
        <w:rPr>
          <w:rFonts w:ascii="Arial" w:cs="Arial" w:eastAsia="Arial" w:hAnsi="Arial"/>
          <w:sz w:val="18"/>
          <w:szCs w:val="18"/>
          <w:color w:val="auto"/>
        </w:rPr>
        <w:t>”) are as follows:</w:t>
      </w:r>
    </w:p>
    <w:p>
      <w:pPr>
        <w:spacing w:after="0" w:line="170"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Remy: $374,300,000</w:t>
      </w:r>
    </w:p>
    <w:p>
      <w:pPr>
        <w:spacing w:after="0" w:line="23" w:lineRule="exact"/>
        <w:rPr>
          <w:rFonts w:ascii="Arial" w:cs="Arial" w:eastAsia="Arial" w:hAnsi="Arial"/>
          <w:sz w:val="18"/>
          <w:szCs w:val="18"/>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ABRH: $314,300,000</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 Alexander’s: $115,400,000</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Ceridian: $329,800,000</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Comdata: $160,200,000</w:t>
      </w:r>
    </w:p>
    <w:p>
      <w:pPr>
        <w:spacing w:after="0" w:line="9" w:lineRule="exact"/>
        <w:rPr>
          <w:rFonts w:ascii="Arial" w:cs="Arial" w:eastAsia="Arial" w:hAnsi="Arial"/>
          <w:sz w:val="18"/>
          <w:szCs w:val="18"/>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Digital Insurance: $70,800,000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Crediting of ROI Incentive Pool</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Promptly following each Liquidity Event that occurs during the Performance Period, ten (10%) percent of any ROI attributable to the Liquidity Event will be credited to the ROI Incentive Pool, subject to the Committee’s discretion to reduce, eliminate or bank (as described below) such amounts.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Crediting of Grantee’s Award Account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Simultaneous with the crediting of the ROI Incentive Pool, the Company will also credit (separately with respect to each Liquidity Event) to a bookkeeping account in the Grantee’s name (the “</w:t>
      </w:r>
      <w:r>
        <w:rPr>
          <w:rFonts w:ascii="Arial" w:cs="Arial" w:eastAsia="Arial" w:hAnsi="Arial"/>
          <w:sz w:val="16"/>
          <w:szCs w:val="16"/>
          <w:u w:val="single" w:color="auto"/>
          <w:color w:val="auto"/>
        </w:rPr>
        <w:t>Grantee’s Award Account</w:t>
      </w:r>
      <w:r>
        <w:rPr>
          <w:rFonts w:ascii="Arial" w:cs="Arial" w:eastAsia="Arial" w:hAnsi="Arial"/>
          <w:sz w:val="16"/>
          <w:szCs w:val="16"/>
          <w:color w:val="auto"/>
        </w:rPr>
        <w:t>”) an amount equal to (i) [INSERT SHARE OF ROI INCENTVIE POOL] of the amount credited to the ROI Incentive Pool with respect to the Liquidity Event; provided, however, that pursuant to Section 4.2 of the Plan, no more than $25,000,000 will be credited to the Grantee’s Award Account pursuant to the Award. Unless otherwise determined by the Committee, if, after the Effective Date of Grant, the Grantee receives any additional Investment Success Incentive Awards relating to one or more of the Portfolio Companies and measuring ROI over one or more overlapping time periods, to avoid duplication, the amount(s) that would otherwise be credited with respect to such Portfolio Company or Portfolio Companies to the Grantee’s award account under such additional award(s) will be reduced so that the Grantee does not receive a credit under more than one award for the same ROI. For purposes of the prior sentence, to the extent a measurement period in a subsequent award includes some, but not all, of the same days included in a Measurement Period under the Award (any such days not covered by both measurement periods, a “</w:t>
      </w:r>
      <w:r>
        <w:rPr>
          <w:rFonts w:ascii="Arial" w:cs="Arial" w:eastAsia="Arial" w:hAnsi="Arial"/>
          <w:sz w:val="16"/>
          <w:szCs w:val="16"/>
          <w:u w:val="single" w:color="auto"/>
          <w:color w:val="auto"/>
        </w:rPr>
        <w:t>Non-Overlapping Period</w:t>
      </w:r>
      <w:r>
        <w:rPr>
          <w:rFonts w:ascii="Arial" w:cs="Arial" w:eastAsia="Arial" w:hAnsi="Arial"/>
          <w:sz w:val="16"/>
          <w:szCs w:val="16"/>
          <w:color w:val="auto"/>
        </w:rPr>
        <w:t>”), no reduction to the amount credited under a subsequent award shall be made with respect to ROI attributable to the Non-Overlapping Period.</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ROI Incentive Pool and the Grantee’s Award Account are notional bookkeeping accounts only and are used solely to determine the amounts that may become payable to the Grantee and, in the case of the ROI Incentive Pool, all participating employees. Any</w:t>
      </w:r>
    </w:p>
    <w:p>
      <w:pPr>
        <w:sectPr>
          <w:pgSz w:w="11900" w:h="16838" w:orient="portrait"/>
          <w:cols w:equalWidth="0" w:num="1">
            <w:col w:w="11420"/>
          </w:cols>
          <w:pgMar w:left="240" w:top="584"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rights arising under the Award are unfunded and unsecured and may not be transferred, alienated, assigned, pledged, hypothecated or encumbered, in any way. At any time prior to a Change in Control, the Committee may, in its discretion, reduce the amounts credited to the ROI Incentive Pool and/or the Grantee’s Award Account. Reasons for such reduction may include, without limitation, realization upon the sale of a Portfolio Company of gain that is less than the ROI upon which a prior credit or payment was made under the Award.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Banked Amounts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the extent the Committee, through its exercise of negative discretion, chooses to reduce or eliminate any amount that would otherwise be contributed to the ROI Incentive Pool and/or the Grantee’s Award Account, the Committee may either declare that the amount not contributed or paid due to such exercise of negative discretion shall be (a) forfeited and no longer available for future crediting to the Grantee’s Award Account (in which case such amount (and the ROI to which it relates) shall be treated as if credited, and the amount that would have been paid with respect thereto shall be treated as if paid, for purposes of determining the amount to be credited upon a future Liquidity Event relating to the same Portfolio Company)), or (b) credited to the Grantee’s Award Account, but not paid when it otherwise would have been paid (any such credited, but not paid amount, a “</w:t>
      </w:r>
      <w:r>
        <w:rPr>
          <w:rFonts w:ascii="Arial" w:cs="Arial" w:eastAsia="Arial" w:hAnsi="Arial"/>
          <w:sz w:val="17"/>
          <w:szCs w:val="17"/>
          <w:u w:val="single" w:color="auto"/>
          <w:color w:val="auto"/>
        </w:rPr>
        <w:t>Banked Amount</w:t>
      </w:r>
      <w:r>
        <w:rPr>
          <w:rFonts w:ascii="Arial" w:cs="Arial" w:eastAsia="Arial" w:hAnsi="Arial"/>
          <w:sz w:val="17"/>
          <w:szCs w:val="17"/>
          <w:color w:val="auto"/>
        </w:rPr>
        <w:t>”), in which case, except as provided in Section 3 of the Award Agreement, such Banked Amount shall remain in the Grantee’s Award Account until the Committee determines in its sole discretion that the Banked Amount will be forfeited or paid to the Grantee, which may include a subsequent Liquidity Event or such other date or event selected by the Committee. Except as otherwise provided in Section 3 of the Award Agreement, upon a termination of the Grantee’s employment for any reason, any Banked Amounts in the Grantee’s Award Account shall immediately be forfeited and the Grantee shall no longer have any rights with respect thereto. Banked amounts shall not accrue interest or other earnings. At any time prior to a Change in Control, the Committee may, in its discretion, reduce or eliminate a Grantee’s Banked Amount.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as provided above with respect to payment of Banked Amounts, to become entitled to a payment under the Award, (a) a Liquidity Event must occur,</w:t>
      </w:r>
    </w:p>
    <w:p>
      <w:pPr>
        <w:spacing w:after="0" w:line="46" w:lineRule="exact"/>
        <w:rPr>
          <w:sz w:val="20"/>
          <w:szCs w:val="20"/>
          <w:color w:val="auto"/>
        </w:rPr>
      </w:pPr>
    </w:p>
    <w:p>
      <w:pPr>
        <w:ind w:firstLine="8"/>
        <w:spacing w:after="0" w:line="261" w:lineRule="auto"/>
        <w:tabs>
          <w:tab w:leader="none" w:pos="2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ROI must be generated by the Liquidity Event, and (c), except as otherwise provided in Section 3 of the Award Agreement, the Grantee must have remained continuously employed with the Company or a Subsidiary through the payment date (together, the “</w:t>
      </w:r>
      <w:r>
        <w:rPr>
          <w:rFonts w:ascii="Arial" w:cs="Arial" w:eastAsia="Arial" w:hAnsi="Arial"/>
          <w:sz w:val="18"/>
          <w:szCs w:val="18"/>
          <w:u w:val="single" w:color="auto"/>
          <w:color w:val="auto"/>
        </w:rPr>
        <w:t>Payment Conditions</w:t>
      </w:r>
      <w:r>
        <w:rPr>
          <w:rFonts w:ascii="Arial" w:cs="Arial" w:eastAsia="Arial" w:hAnsi="Arial"/>
          <w:sz w:val="18"/>
          <w:szCs w:val="18"/>
          <w:color w:val="auto"/>
        </w:rPr>
        <w: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all of the Payment Conditions are satisfied, then, subject to any exercise of negative discretion by the Committee to reduce, eliminate or bank the amounts otherwise payable with respect to such Liquidity Event, as soon as practicable following the Committee’s determination (and in the case of an Award intended to qualify as performance-based compensation for purposes of Code Section 162(m), following the Committee’s written certification) of the ROI, the amount credited to the Grantee’s Award Account with respect to such Liquidity Event shall be paid to the Grantee in a lump sum cash payment, less applicable tax withholdings.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USE THE FOLLOWING EXCEPT FOR FOLEY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sum of the amounts paid to the Grantee in a calendar year pursuant to the Award and any other Investment Success Incentive Awards granted after the Effective Date of Grant is greater than fifty (50%) percent of the Grantee’s regular annual cash incentive relating to the same calendar year (payable in the following calendar year), then, unless otherwise determined by the Committee, the Grantee’s regular annual cash incentive shall be reduced by fifty (50%) percent. Notwithstanding anything contained in any other plan or agreement to the contrary, the Grantee shall not be permitted to defer under any elective nonqualified deferred compensation plan any regular annual cash incentive that could be reduced pursuant to the preceding sentence.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USE THE FOLLOWING FOR FOLEY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sum of the amounts paid to the Grantee in a calendar year pursuant to the Award and any other Investment Success Incentive Awards granted after the Effective Date of Grant is greater than the Grantee’s regular annual cash incentives provided by the Company and Fidelity National Financial Ventures, LLC with respect to the same calendar year (payable in the following calendar year), then, unless otherwise determined by the Committee, such regular annual cash incentives shall not be paid. Notwithstanding anything contained in any other plan or agreement to the contrary, the Grantee shall not be permitted to defer under any elective nonqualified deferred compensation plan any regular annual cash incentive that could be eliminated pursuant to the preceding sentence.</w:t>
      </w:r>
    </w:p>
    <w:p>
      <w:pPr>
        <w:sectPr>
          <w:pgSz w:w="11900" w:h="16838" w:orient="portrait"/>
          <w:cols w:equalWidth="0" w:num="1">
            <w:col w:w="11420"/>
          </w:cols>
          <w:pgMar w:left="240" w:top="58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Success Incentive Award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GRANT OF AWARD</w:t>
      </w:r>
    </w:p>
    <w:p>
      <w:pPr>
        <w:spacing w:after="0" w:line="252" w:lineRule="exact"/>
        <w:rPr>
          <w:sz w:val="20"/>
          <w:szCs w:val="20"/>
          <w:color w:val="auto"/>
        </w:rPr>
      </w:pPr>
    </w:p>
    <w:p>
      <w:pPr>
        <w:jc w:val="both"/>
        <w:ind w:firstLine="656"/>
        <w:spacing w:after="0" w:line="308" w:lineRule="auto"/>
        <w:tabs>
          <w:tab w:leader="none" w:pos="149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On the terms and conditions set forth in the Notice of Investment Success Incentive Award (including Appendix A, the “</w:t>
      </w:r>
      <w:r>
        <w:rPr>
          <w:rFonts w:ascii="Arial" w:cs="Arial" w:eastAsia="Arial" w:hAnsi="Arial"/>
          <w:sz w:val="18"/>
          <w:szCs w:val="18"/>
          <w:u w:val="single" w:color="auto"/>
          <w:color w:val="auto"/>
        </w:rPr>
        <w:t>Notice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 Investment Success Incentive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the Company grants to the Grantee on the Effective Date of Grant the Award set forth in the Notice. The Award represents the right to receive one or more cash payments in accordance with Appendix A if the conditions set forth in Appendix A and the Award Agreement are satisfied.</w:t>
      </w:r>
    </w:p>
    <w:p>
      <w:pPr>
        <w:spacing w:after="0" w:line="179" w:lineRule="exact"/>
        <w:rPr>
          <w:rFonts w:ascii="Arial" w:cs="Arial" w:eastAsia="Arial" w:hAnsi="Arial"/>
          <w:sz w:val="18"/>
          <w:szCs w:val="18"/>
          <w:color w:val="auto"/>
        </w:rPr>
      </w:pPr>
    </w:p>
    <w:p>
      <w:pPr>
        <w:jc w:val="both"/>
        <w:ind w:firstLine="656"/>
        <w:spacing w:after="0" w:line="308" w:lineRule="auto"/>
        <w:tabs>
          <w:tab w:leader="none" w:pos="150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Award is granted pursuant to the Plan, and shall be considered an “Other Award” for purposes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Except as expressly provided otherwise herein, all applicable terms, provisions, and conditions set forth in the Plan and not set forth herein are hereby incorporated by reference herein. All capitalized terms that are used in the Notice or the Award Agreement and not otherwise defined therein or herein shall have the meanings ascribed to them in the Plan.</w:t>
      </w:r>
    </w:p>
    <w:p>
      <w:pPr>
        <w:spacing w:after="0" w:line="180"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TERMINATION OF EMPLOYMENT</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the Grantee’s employment with the Company and all Subsidiaries is terminated for any reason, including death or Disability, the Award shall immediately be forfeited and the Grantee shall not be entitled to any further payments with respect to the Award. For purposes of the Award, references to employment shall be read to mean employment and/or provision of substantial services as a member of a board of directors or board of managers of the Company or a Subsidiary, and termination of employment (and similar terms) shall mean termination of employment and service in all such capacities. Transitioning from an employment to a board of directors or board of managers position, or from a board of directors or board of managers position to an employment position, shall not constitute a termination of employment provided the Grantee is providing substantial services in all such capacities.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CHANGE IN CONTROL</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a Change in Control occurs on or after July 1, 2015, and the Grantee has remained continuously employed with the Company or a Subsidiary through the date of the Change in Control, a Liquidity Event shall be deemed to have occurred as of the date of the Change in Control and ROI shall be calculated with respect to the aggregate of the Company’s investments in the Portfolio Companies held by the Company as of immediately before the Change in Control, with such ROI calculation to be made in accordance with Appendix A (without regard to the provisions in Appendix A that authorize the Committee to reduce, eliminate or bank amounts in determining ROI). To the extent there is any such ROI recognized in connection with the Change in Control, the Grantee shall be entitled to receive a lump sum cash payment if the Grantee either remains employed with the Company or a Subsidiary through the payment date or is terminated without “Cause” (as defined below) on or before the payment date. The amount of the payment shall equal the sum of the amount determined in accordance with Appendix A as a result of the Change in Control, together with any Banked Amounts that were unpaid as of the date of the Change in Control, less applicable tax withholdings. The payment shall occur at, or promptly (and in all events within 10 days) following, the closing of the Change in Control. Notwithstanding anything to contrary in the Plan, the Notice or the Award Agreement, if a Change in Control occurs on or after July 1, 2015, the Committee may not reduce or eliminate (through the exercise of negative discretion or otherwise) any amounts that are determined to be payable pursuant to the terms of Appendix A (without regard to the provisions in Appendix A that authorize the Committee to reduce, eliminate or bank amounts in determining ROI) in connection with the Change in Control or any Banked Amounts. A Change in Control occurring before July 1, 2015 will not constitute a Liquidity Event.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purposes hereof, the term “Cause” shall have the meaning set forth in the Grantee’s employment or similar agreement with the Company or a Subsidiary or, in the absence thereof, shall mean a termination by the Company or a Subsidiary based upon the Grantee’s: (i) persistent failure to perform duties consistent with a commercially reasonable standard of care (other than due to a physical or mental impairment or due to an action or inaction directed by the Company or a Subsidiary); (ii) willful neglect of duties (other than due to a physical or mental impairment or due to an action or inaction directed by the Company); (iii) conviction of, or pleading nolo contendere to, criminal or other illegal activities involving dishonesty; (iv) material breach of a material agreement with the Company or a Subsidiary; or (v) failure to materially cooperate with or impeding an investigation authorized by the Board.</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656"/>
        <w:spacing w:after="0" w:line="313" w:lineRule="auto"/>
        <w:tabs>
          <w:tab w:leader="none" w:pos="149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Subsidiary of the Company shall have the power and right to deduct or withhold, or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to remit to the Company, an amount sufficient to satisfy any federal, state and local taxes (including the Grantee’s FICA obligations) required by law to be withheld with respect to the Award.</w:t>
      </w:r>
    </w:p>
    <w:p>
      <w:pPr>
        <w:spacing w:after="0" w:line="176" w:lineRule="exact"/>
        <w:rPr>
          <w:sz w:val="20"/>
          <w:szCs w:val="20"/>
          <w:color w:val="auto"/>
        </w:rPr>
      </w:pPr>
    </w:p>
    <w:p>
      <w:pPr>
        <w:jc w:val="both"/>
        <w:ind w:firstLine="656"/>
        <w:spacing w:after="0" w:line="313" w:lineRule="auto"/>
        <w:tabs>
          <w:tab w:leader="none" w:pos="149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the Award Agreement, the Grantee and each person claiming under or through the Grantee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conclusively deemed to have indicated the Grantee’s acceptance and ratification of, and consent to, any action taken under the Plan, the Notice or the Award Agreement by the Company, the Board or the Committee.</w:t>
      </w:r>
    </w:p>
    <w:p>
      <w:pPr>
        <w:spacing w:after="0" w:line="176" w:lineRule="exact"/>
        <w:rPr>
          <w:sz w:val="20"/>
          <w:szCs w:val="20"/>
          <w:color w:val="auto"/>
        </w:rPr>
      </w:pPr>
    </w:p>
    <w:p>
      <w:pPr>
        <w:jc w:val="both"/>
        <w:ind w:firstLine="656"/>
        <w:spacing w:after="0" w:line="367" w:lineRule="auto"/>
        <w:tabs>
          <w:tab w:leader="none" w:pos="149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the Award Agreement shall be given in writing and shall be deemed effective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41" w:lineRule="exact"/>
        <w:rPr>
          <w:rFonts w:ascii="Arial" w:cs="Arial" w:eastAsia="Arial" w:hAnsi="Arial"/>
          <w:sz w:val="16"/>
          <w:szCs w:val="16"/>
          <w:color w:val="auto"/>
        </w:rPr>
      </w:pPr>
    </w:p>
    <w:p>
      <w:pPr>
        <w:jc w:val="both"/>
        <w:ind w:firstLine="656"/>
        <w:spacing w:after="0" w:line="313" w:lineRule="auto"/>
        <w:tabs>
          <w:tab w:leader="none" w:pos="150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The Award Agreement and the Notice shall be governed by, and construed in accordance with, the laws of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the Award Agreement or the Notice to be governed by or construed in accordance with the substantive law of another jurisdiction.</w:t>
      </w:r>
    </w:p>
    <w:p>
      <w:pPr>
        <w:spacing w:after="0" w:line="176" w:lineRule="exact"/>
        <w:rPr>
          <w:rFonts w:ascii="Arial" w:cs="Arial" w:eastAsia="Arial" w:hAnsi="Arial"/>
          <w:sz w:val="18"/>
          <w:szCs w:val="18"/>
          <w:color w:val="auto"/>
        </w:rPr>
      </w:pPr>
    </w:p>
    <w:p>
      <w:pPr>
        <w:ind w:firstLine="656"/>
        <w:spacing w:after="0" w:line="329" w:lineRule="auto"/>
        <w:tabs>
          <w:tab w:leader="none" w:pos="149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or Amendment. </w:t>
      </w:r>
      <w:r>
        <w:rPr>
          <w:rFonts w:ascii="Arial" w:cs="Arial" w:eastAsia="Arial" w:hAnsi="Arial"/>
          <w:sz w:val="18"/>
          <w:szCs w:val="18"/>
          <w:color w:val="auto"/>
        </w:rPr>
        <w:t>Except as otherwise provided in Section 4(k) of the Award Agreement, the Notice and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may only be modified or amended by written agreement executed by the parties hereto.</w:t>
      </w:r>
    </w:p>
    <w:p>
      <w:pPr>
        <w:spacing w:after="0" w:line="161" w:lineRule="exact"/>
        <w:rPr>
          <w:rFonts w:ascii="Arial" w:cs="Arial" w:eastAsia="Arial" w:hAnsi="Arial"/>
          <w:sz w:val="18"/>
          <w:szCs w:val="18"/>
          <w:color w:val="auto"/>
        </w:rPr>
      </w:pPr>
    </w:p>
    <w:p>
      <w:pPr>
        <w:jc w:val="both"/>
        <w:ind w:firstLine="656"/>
        <w:spacing w:after="0" w:line="297" w:lineRule="auto"/>
        <w:tabs>
          <w:tab w:leader="none" w:pos="150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the Award Agreement shall be held illegal or invalid for any reason, the illegality or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remaining provisions of the Award Agreement, and the Award Agreement shall be construed and enforced as if such illegal or invalid provision had not been included.</w:t>
      </w:r>
    </w:p>
    <w:p>
      <w:pPr>
        <w:spacing w:after="0" w:line="1" w:lineRule="exact"/>
        <w:rPr>
          <w:rFonts w:ascii="Arial" w:cs="Arial" w:eastAsia="Arial" w:hAnsi="Arial"/>
          <w:sz w:val="18"/>
          <w:szCs w:val="18"/>
          <w:color w:val="auto"/>
        </w:rPr>
      </w:pPr>
    </w:p>
    <w:p>
      <w:pPr>
        <w:ind w:firstLine="656"/>
        <w:spacing w:after="0" w:line="329" w:lineRule="auto"/>
        <w:tabs>
          <w:tab w:leader="none" w:pos="149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Compensation under Other Arrangements</w:t>
      </w:r>
      <w:r>
        <w:rPr>
          <w:rFonts w:ascii="Arial" w:cs="Arial" w:eastAsia="Arial" w:hAnsi="Arial"/>
          <w:sz w:val="18"/>
          <w:szCs w:val="18"/>
          <w:color w:val="auto"/>
        </w:rPr>
        <w:t>. Amounts earned with respect to the Award shall not be included in any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or change in control benefits or payments under any employment agreement or other compensatory arrangement.</w:t>
      </w:r>
    </w:p>
    <w:p>
      <w:pPr>
        <w:spacing w:after="0" w:line="161" w:lineRule="exact"/>
        <w:rPr>
          <w:rFonts w:ascii="Arial" w:cs="Arial" w:eastAsia="Arial" w:hAnsi="Arial"/>
          <w:sz w:val="18"/>
          <w:szCs w:val="18"/>
          <w:color w:val="auto"/>
        </w:rPr>
      </w:pPr>
    </w:p>
    <w:p>
      <w:pPr>
        <w:jc w:val="both"/>
        <w:ind w:firstLine="656"/>
        <w:spacing w:after="0" w:line="313" w:lineRule="auto"/>
        <w:tabs>
          <w:tab w:leader="none" w:pos="147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References to Plan and Headings. </w:t>
      </w:r>
      <w:r>
        <w:rPr>
          <w:rFonts w:ascii="Arial" w:cs="Arial" w:eastAsia="Arial" w:hAnsi="Arial"/>
          <w:sz w:val="18"/>
          <w:szCs w:val="18"/>
          <w:color w:val="auto"/>
        </w:rPr>
        <w:t>All references to the Plan shall be deemed references to the Plan as may be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Headings in the Notice and Award Agreement are for convenience and shall not in any way affect the meaning or interpretation of any of the provisions hereof.</w:t>
      </w:r>
    </w:p>
    <w:p>
      <w:pPr>
        <w:spacing w:after="0" w:line="176" w:lineRule="exact"/>
        <w:rPr>
          <w:rFonts w:ascii="Arial" w:cs="Arial" w:eastAsia="Arial" w:hAnsi="Arial"/>
          <w:sz w:val="18"/>
          <w:szCs w:val="18"/>
          <w:color w:val="auto"/>
        </w:rPr>
      </w:pPr>
    </w:p>
    <w:p>
      <w:pPr>
        <w:jc w:val="both"/>
        <w:ind w:right="20" w:firstLine="656"/>
        <w:spacing w:after="0" w:line="313" w:lineRule="auto"/>
        <w:tabs>
          <w:tab w:leader="none" w:pos="150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(including Appendix A) and the Award Agreement are the entire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relating to the subject matter thereof and hereof and supersede all prior agreements and understandings (including verbal agreements) between the Company and the Grantee relating to such subject matter.</w:t>
      </w:r>
    </w:p>
    <w:p>
      <w:pPr>
        <w:spacing w:after="0" w:line="176" w:lineRule="exact"/>
        <w:rPr>
          <w:rFonts w:ascii="Arial" w:cs="Arial" w:eastAsia="Arial" w:hAnsi="Arial"/>
          <w:sz w:val="18"/>
          <w:szCs w:val="18"/>
          <w:color w:val="auto"/>
        </w:rPr>
      </w:pPr>
    </w:p>
    <w:p>
      <w:pPr>
        <w:ind w:firstLine="656"/>
        <w:spacing w:after="0" w:line="329" w:lineRule="auto"/>
        <w:tabs>
          <w:tab w:leader="none" w:pos="150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All amounts paid under the Award shall be subject to the Company’s policy regarding clawback of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policy may be amended from time to time.</w:t>
      </w:r>
    </w:p>
    <w:p>
      <w:pPr>
        <w:spacing w:after="0" w:line="161" w:lineRule="exact"/>
        <w:rPr>
          <w:rFonts w:ascii="Arial" w:cs="Arial" w:eastAsia="Arial" w:hAnsi="Arial"/>
          <w:sz w:val="18"/>
          <w:szCs w:val="18"/>
          <w:color w:val="auto"/>
        </w:rPr>
      </w:pPr>
    </w:p>
    <w:p>
      <w:pPr>
        <w:jc w:val="both"/>
        <w:ind w:firstLine="656"/>
        <w:spacing w:after="0" w:line="321" w:lineRule="auto"/>
        <w:tabs>
          <w:tab w:leader="none" w:pos="1466"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Section 409A Compliance. </w:t>
      </w:r>
      <w:r>
        <w:rPr>
          <w:rFonts w:ascii="Arial" w:cs="Arial" w:eastAsia="Arial" w:hAnsi="Arial"/>
          <w:sz w:val="17"/>
          <w:szCs w:val="17"/>
          <w:color w:val="auto"/>
        </w:rPr>
        <w:t>It is intended that the Award qualify as a “short-term deferral” for purposes of Section 409A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interpreted accordingly;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to the extent it is determined that the Award is subject to Section 409A, it is intended that the Award comply with the requirements of Section 409A, and the Plan, the Notice and the Award Agreement shall be interpreted accordingly and any provision thereof or hereof that would cause the Award to fail to comply with Section 409A will have no force or effect until amended to comply therewith (which amendment may be made without the Grantee’s consent and may be retroactive to the extent permitted by Section 409A) and (ii) the Company will consult with the Grantee in good faith regarding the implementation of the provisions of this Section 4(k). The Grantee shall not be entitled to indemnification or other reimbursement for any taxes or other expenses incurred as a result of the applicability of Section 409A to the Award and neither the Company nor any of its employees or representatives shall have any liability to Grantee with respect to Section 409A.</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347980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00090UAA2 Revolving Credit CUSIP Number: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00090UAB08 Term Loan A CUSIP Number: 00090UAB80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$210,000,000</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dated as of August 19, 2014, by and among</w:t>
      </w:r>
    </w:p>
    <w:p>
      <w:pPr>
        <w:spacing w:after="0" w:line="23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FIDELITY NEWPORT HOLDINGS, LLC</w:t>
      </w:r>
      <w:r>
        <w:rPr>
          <w:rFonts w:ascii="Arial" w:cs="Arial" w:eastAsia="Arial" w:hAnsi="Arial"/>
          <w:sz w:val="18"/>
          <w:szCs w:val="18"/>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Holdings,</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ABRH, LLC</w:t>
      </w:r>
      <w:r>
        <w:rPr>
          <w:rFonts w:ascii="Arial" w:cs="Arial" w:eastAsia="Arial" w:hAnsi="Arial"/>
          <w:sz w:val="18"/>
          <w:szCs w:val="18"/>
          <w:color w:val="auto"/>
        </w:rPr>
        <w:t>,</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Lenders referred to herein, as Lenders,</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as Administrative Agent, Swingline Lender and Issuing Lender</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 Syndication Agent</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CITIZENS BANK, NATIONAL ASSOCIATION, COOPERATIEVE CENTRALE RAIFFEISEN- BOERENLEENBANK B.A. “RABOBANK</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NEDERLAND”, NEW YORK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REGIONS BANK</w:t>
      </w:r>
      <w:r>
        <w:rPr>
          <w:rFonts w:ascii="Arial" w:cs="Arial" w:eastAsia="Arial" w:hAnsi="Arial"/>
          <w:sz w:val="18"/>
          <w:szCs w:val="18"/>
          <w:color w:val="auto"/>
        </w:rPr>
        <w:t>,</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as Co-Documentation Agents</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Obligor Name: ABRH, LLC Reference No.: CID 26184</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648"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24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r>
      <w:tr>
        <w:trPr>
          <w:trHeight w:val="702"/>
        </w:trPr>
        <w:tc>
          <w:tcPr>
            <w:tcW w:w="73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980" w:type="dxa"/>
            <w:vAlign w:val="bottom"/>
          </w:tcPr>
          <w:p>
            <w:pPr>
              <w:ind w:left="800"/>
              <w:spacing w:after="0"/>
              <w:rPr>
                <w:sz w:val="20"/>
                <w:szCs w:val="20"/>
                <w:color w:val="auto"/>
              </w:rPr>
            </w:pPr>
            <w:r>
              <w:rPr>
                <w:rFonts w:ascii="Arial" w:cs="Arial" w:eastAsia="Arial" w:hAnsi="Arial"/>
                <w:sz w:val="18"/>
                <w:szCs w:val="18"/>
                <w:color w:val="auto"/>
              </w:rPr>
              <w:t>6</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1.1</w:t>
            </w:r>
          </w:p>
        </w:tc>
        <w:tc>
          <w:tcPr>
            <w:tcW w:w="62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980" w:type="dxa"/>
            <w:vAlign w:val="bottom"/>
          </w:tcPr>
          <w:p>
            <w:pPr>
              <w:ind w:left="800"/>
              <w:spacing w:after="0"/>
              <w:rPr>
                <w:sz w:val="20"/>
                <w:szCs w:val="20"/>
                <w:color w:val="auto"/>
              </w:rPr>
            </w:pPr>
            <w:r>
              <w:rPr>
                <w:rFonts w:ascii="Arial" w:cs="Arial" w:eastAsia="Arial" w:hAnsi="Arial"/>
                <w:sz w:val="18"/>
                <w:szCs w:val="18"/>
                <w:color w:val="auto"/>
              </w:rPr>
              <w:t>6</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1.2  Other Definitions and Provisions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32</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1.3</w:t>
            </w:r>
          </w:p>
        </w:tc>
        <w:tc>
          <w:tcPr>
            <w:tcW w:w="6240" w:type="dxa"/>
            <w:vAlign w:val="bottom"/>
          </w:tcPr>
          <w:p>
            <w:pPr>
              <w:ind w:left="80"/>
              <w:spacing w:after="0"/>
              <w:rPr>
                <w:sz w:val="20"/>
                <w:szCs w:val="20"/>
                <w:color w:val="auto"/>
              </w:rPr>
            </w:pPr>
            <w:r>
              <w:rPr>
                <w:rFonts w:ascii="Arial" w:cs="Arial" w:eastAsia="Arial" w:hAnsi="Arial"/>
                <w:sz w:val="18"/>
                <w:szCs w:val="18"/>
                <w:color w:val="auto"/>
              </w:rPr>
              <w:t>Accounting Terms.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32</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1.4</w:t>
            </w:r>
          </w:p>
        </w:tc>
        <w:tc>
          <w:tcPr>
            <w:tcW w:w="6240" w:type="dxa"/>
            <w:vAlign w:val="bottom"/>
          </w:tcPr>
          <w:p>
            <w:pPr>
              <w:ind w:left="100"/>
              <w:spacing w:after="0"/>
              <w:rPr>
                <w:sz w:val="20"/>
                <w:szCs w:val="20"/>
                <w:color w:val="auto"/>
              </w:rPr>
            </w:pPr>
            <w:r>
              <w:rPr>
                <w:rFonts w:ascii="Arial" w:cs="Arial" w:eastAsia="Arial" w:hAnsi="Arial"/>
                <w:sz w:val="18"/>
                <w:szCs w:val="18"/>
                <w:color w:val="auto"/>
              </w:rPr>
              <w:t>UCC Terms.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32</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1.5</w:t>
            </w:r>
          </w:p>
        </w:tc>
        <w:tc>
          <w:tcPr>
            <w:tcW w:w="6240" w:type="dxa"/>
            <w:vAlign w:val="bottom"/>
          </w:tcPr>
          <w:p>
            <w:pPr>
              <w:ind w:left="100"/>
              <w:spacing w:after="0"/>
              <w:rPr>
                <w:sz w:val="20"/>
                <w:szCs w:val="20"/>
                <w:color w:val="auto"/>
              </w:rPr>
            </w:pPr>
            <w:r>
              <w:rPr>
                <w:rFonts w:ascii="Arial" w:cs="Arial" w:eastAsia="Arial" w:hAnsi="Arial"/>
                <w:sz w:val="18"/>
                <w:szCs w:val="18"/>
                <w:color w:val="auto"/>
              </w:rPr>
              <w:t>Rounding.</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32</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1.6  References to Agreement and Laws.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32</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1.7</w:t>
            </w:r>
          </w:p>
        </w:tc>
        <w:tc>
          <w:tcPr>
            <w:tcW w:w="6240" w:type="dxa"/>
            <w:vAlign w:val="bottom"/>
          </w:tcPr>
          <w:p>
            <w:pPr>
              <w:ind w:left="80"/>
              <w:spacing w:after="0"/>
              <w:rPr>
                <w:sz w:val="20"/>
                <w:szCs w:val="20"/>
                <w:color w:val="auto"/>
              </w:rPr>
            </w:pPr>
            <w:r>
              <w:rPr>
                <w:rFonts w:ascii="Arial" w:cs="Arial" w:eastAsia="Arial" w:hAnsi="Arial"/>
                <w:sz w:val="18"/>
                <w:szCs w:val="18"/>
                <w:color w:val="auto"/>
              </w:rPr>
              <w:t>Times of Day</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32</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1.8  Letter of Credit Amounts.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32</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1.9</w:t>
            </w:r>
          </w:p>
        </w:tc>
        <w:tc>
          <w:tcPr>
            <w:tcW w:w="6240" w:type="dxa"/>
            <w:vAlign w:val="bottom"/>
          </w:tcPr>
          <w:p>
            <w:pPr>
              <w:ind w:left="100"/>
              <w:spacing w:after="0"/>
              <w:rPr>
                <w:sz w:val="20"/>
                <w:szCs w:val="20"/>
                <w:color w:val="auto"/>
              </w:rPr>
            </w:pPr>
            <w:r>
              <w:rPr>
                <w:rFonts w:ascii="Arial" w:cs="Arial" w:eastAsia="Arial" w:hAnsi="Arial"/>
                <w:sz w:val="18"/>
                <w:szCs w:val="18"/>
                <w:color w:val="auto"/>
              </w:rPr>
              <w:t>Guarantees.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33</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1.10  Covenant Compliance Generally</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33</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ARTICLE II REVOLVING CREDIT FACILITY</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33</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2.1  Revolving Credit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33</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2.2</w:t>
            </w:r>
          </w:p>
        </w:tc>
        <w:tc>
          <w:tcPr>
            <w:tcW w:w="6240" w:type="dxa"/>
            <w:vAlign w:val="bottom"/>
          </w:tcPr>
          <w:p>
            <w:pPr>
              <w:ind w:left="100"/>
              <w:spacing w:after="0"/>
              <w:rPr>
                <w:sz w:val="20"/>
                <w:szCs w:val="20"/>
                <w:color w:val="auto"/>
              </w:rPr>
            </w:pPr>
            <w:r>
              <w:rPr>
                <w:rFonts w:ascii="Arial" w:cs="Arial" w:eastAsia="Arial" w:hAnsi="Arial"/>
                <w:sz w:val="18"/>
                <w:szCs w:val="18"/>
                <w:color w:val="auto"/>
              </w:rPr>
              <w:t>Swingline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33</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2.3  Procedure for Advances of Revolving Credit Loans and Swingline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34</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2.4  Repayment and Prepayment of Revolving Credit and Swingline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35</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2.5  Permanent Reduction of the Revolving Credit Commitment.</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36</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2.6  Termination of Revolving Credit Facility.</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36</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ARTICLE III LETTER OF CREDIT FACILITY</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36</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3.1</w:t>
            </w:r>
          </w:p>
        </w:tc>
        <w:tc>
          <w:tcPr>
            <w:tcW w:w="6240" w:type="dxa"/>
            <w:vAlign w:val="bottom"/>
          </w:tcPr>
          <w:p>
            <w:pPr>
              <w:ind w:left="100"/>
              <w:spacing w:after="0"/>
              <w:rPr>
                <w:sz w:val="20"/>
                <w:szCs w:val="20"/>
                <w:color w:val="auto"/>
              </w:rPr>
            </w:pPr>
            <w:r>
              <w:rPr>
                <w:rFonts w:ascii="Arial" w:cs="Arial" w:eastAsia="Arial" w:hAnsi="Arial"/>
                <w:sz w:val="18"/>
                <w:szCs w:val="18"/>
                <w:color w:val="auto"/>
              </w:rPr>
              <w:t>L/C Facility</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36</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3.2  Procedure for Issuance of Letters of Credit.</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37</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3.3  Commissions and Other Charges.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37</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3.4</w:t>
            </w:r>
          </w:p>
        </w:tc>
        <w:tc>
          <w:tcPr>
            <w:tcW w:w="6240" w:type="dxa"/>
            <w:vAlign w:val="bottom"/>
          </w:tcPr>
          <w:p>
            <w:pPr>
              <w:ind w:left="100"/>
              <w:spacing w:after="0"/>
              <w:rPr>
                <w:sz w:val="20"/>
                <w:szCs w:val="20"/>
                <w:color w:val="auto"/>
              </w:rPr>
            </w:pPr>
            <w:r>
              <w:rPr>
                <w:rFonts w:ascii="Arial" w:cs="Arial" w:eastAsia="Arial" w:hAnsi="Arial"/>
                <w:sz w:val="18"/>
                <w:szCs w:val="18"/>
                <w:color w:val="auto"/>
              </w:rPr>
              <w:t>L/C Participations.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37</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3.5  Reimbursement Obligation of the Borrower.</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38</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3.6</w:t>
            </w:r>
          </w:p>
        </w:tc>
        <w:tc>
          <w:tcPr>
            <w:tcW w:w="6240" w:type="dxa"/>
            <w:vAlign w:val="bottom"/>
          </w:tcPr>
          <w:p>
            <w:pPr>
              <w:ind w:left="100"/>
              <w:spacing w:after="0"/>
              <w:rPr>
                <w:sz w:val="20"/>
                <w:szCs w:val="20"/>
                <w:color w:val="auto"/>
              </w:rPr>
            </w:pPr>
            <w:r>
              <w:rPr>
                <w:rFonts w:ascii="Arial" w:cs="Arial" w:eastAsia="Arial" w:hAnsi="Arial"/>
                <w:sz w:val="18"/>
                <w:szCs w:val="18"/>
                <w:color w:val="auto"/>
              </w:rPr>
              <w:t>Obligations Absolute.</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38</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3.7  Effect of Letter of Credit Application.</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39</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3.8  Resignation of Issuing Lenders.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39</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3.9  Reporting of Letter of Credit Information and L/C Commitment.</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39</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3.10  Letters of Credit Issued for Subsidiaries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39</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ARTICLE IV TERM LOAN FACILITY</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39</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4.1  Initial Term Loan.</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40</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4.2  Procedure for Advance of Term Loan.</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40</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4.3  Incremental Term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40</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4.4  Repayment of Term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40</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4.5  Prepayments of Term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41</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ARTICLE V GENERAL LOAN PROVISIONS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43</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5.1</w:t>
            </w:r>
          </w:p>
        </w:tc>
        <w:tc>
          <w:tcPr>
            <w:tcW w:w="62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43</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5.2  Notice and Manner of Conversion or Continuation of Loans.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44</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5.3</w:t>
            </w:r>
          </w:p>
        </w:tc>
        <w:tc>
          <w:tcPr>
            <w:tcW w:w="6240" w:type="dxa"/>
            <w:vAlign w:val="bottom"/>
          </w:tcPr>
          <w:p>
            <w:pPr>
              <w:ind w:left="100"/>
              <w:spacing w:after="0"/>
              <w:rPr>
                <w:sz w:val="20"/>
                <w:szCs w:val="20"/>
                <w:color w:val="auto"/>
              </w:rPr>
            </w:pPr>
            <w:r>
              <w:rPr>
                <w:rFonts w:ascii="Arial" w:cs="Arial" w:eastAsia="Arial" w:hAnsi="Arial"/>
                <w:sz w:val="18"/>
                <w:szCs w:val="18"/>
                <w:color w:val="auto"/>
              </w:rPr>
              <w:t>Fees.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44</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5.4  Manner of Payment.</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44</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5.5  Evidence of Indebtedness.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45</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5.6  Sharing of Payments by Lenders.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45</w:t>
            </w:r>
          </w:p>
        </w:tc>
      </w:tr>
      <w:tr>
        <w:trPr>
          <w:trHeight w:val="270"/>
        </w:trPr>
        <w:tc>
          <w:tcPr>
            <w:tcW w:w="7360" w:type="dxa"/>
            <w:vAlign w:val="bottom"/>
            <w:gridSpan w:val="2"/>
          </w:tcPr>
          <w:p>
            <w:pPr>
              <w:spacing w:after="0"/>
              <w:rPr>
                <w:sz w:val="20"/>
                <w:szCs w:val="20"/>
                <w:color w:val="auto"/>
              </w:rPr>
            </w:pPr>
            <w:r>
              <w:rPr>
                <w:rFonts w:ascii="Arial" w:cs="Arial" w:eastAsia="Arial" w:hAnsi="Arial"/>
                <w:sz w:val="18"/>
                <w:szCs w:val="18"/>
                <w:color w:val="auto"/>
              </w:rPr>
              <w:t>SECTION 5.7  Administrative Agent’s Clawback.</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46</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5.8</w:t>
            </w:r>
          </w:p>
        </w:tc>
        <w:tc>
          <w:tcPr>
            <w:tcW w:w="6240" w:type="dxa"/>
            <w:vAlign w:val="bottom"/>
          </w:tcPr>
          <w:p>
            <w:pPr>
              <w:ind w:left="100"/>
              <w:spacing w:after="0"/>
              <w:rPr>
                <w:sz w:val="20"/>
                <w:szCs w:val="20"/>
                <w:color w:val="auto"/>
              </w:rPr>
            </w:pPr>
            <w:r>
              <w:rPr>
                <w:rFonts w:ascii="Arial" w:cs="Arial" w:eastAsia="Arial" w:hAnsi="Arial"/>
                <w:sz w:val="18"/>
                <w:szCs w:val="18"/>
                <w:color w:val="auto"/>
              </w:rPr>
              <w:t>Changed Circumstances.</w:t>
            </w:r>
          </w:p>
        </w:tc>
        <w:tc>
          <w:tcPr>
            <w:tcW w:w="980" w:type="dxa"/>
            <w:vAlign w:val="bottom"/>
          </w:tcPr>
          <w:p>
            <w:pPr>
              <w:ind w:left="800"/>
              <w:spacing w:after="0"/>
              <w:rPr>
                <w:sz w:val="20"/>
                <w:szCs w:val="20"/>
                <w:color w:val="auto"/>
              </w:rPr>
            </w:pPr>
            <w:r>
              <w:rPr>
                <w:rFonts w:ascii="Arial" w:cs="Arial" w:eastAsia="Arial" w:hAnsi="Arial"/>
                <w:sz w:val="18"/>
                <w:szCs w:val="18"/>
                <w:color w:val="auto"/>
                <w:w w:val="79"/>
              </w:rPr>
              <w:t>46</w:t>
            </w:r>
          </w:p>
        </w:tc>
      </w:tr>
    </w:tbl>
    <w:p>
      <w:pPr>
        <w:spacing w:after="0" w:line="200" w:lineRule="exact"/>
        <w:rPr>
          <w:sz w:val="20"/>
          <w:szCs w:val="20"/>
          <w:color w:val="auto"/>
        </w:rPr>
      </w:pPr>
    </w:p>
    <w:p>
      <w:pPr>
        <w:sectPr>
          <w:pgSz w:w="11900" w:h="16838" w:orient="portrait"/>
          <w:cols w:equalWidth="0" w:num="1">
            <w:col w:w="10079"/>
          </w:cols>
          <w:pgMar w:left="380" w:top="648" w:right="1440" w:bottom="1440" w:gutter="0" w:footer="0" w:header="0"/>
        </w:sectPr>
      </w:pPr>
    </w:p>
    <w:p>
      <w:pPr>
        <w:spacing w:after="0" w:line="5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79"/>
          </w:cols>
          <w:pgMar w:left="380" w:top="648" w:right="1440"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5.9</w:t>
            </w:r>
          </w:p>
        </w:tc>
        <w:tc>
          <w:tcPr>
            <w:tcW w:w="6300" w:type="dxa"/>
            <w:vAlign w:val="bottom"/>
          </w:tcPr>
          <w:p>
            <w:pPr>
              <w:ind w:left="60"/>
              <w:spacing w:after="0"/>
              <w:rPr>
                <w:sz w:val="20"/>
                <w:szCs w:val="20"/>
                <w:color w:val="auto"/>
              </w:rPr>
            </w:pPr>
            <w:r>
              <w:rPr>
                <w:rFonts w:ascii="Arial" w:cs="Arial" w:eastAsia="Arial" w:hAnsi="Arial"/>
                <w:sz w:val="18"/>
                <w:szCs w:val="18"/>
                <w:color w:val="auto"/>
              </w:rPr>
              <w:t>Indemnity</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5.10</w:t>
            </w:r>
          </w:p>
        </w:tc>
        <w:tc>
          <w:tcPr>
            <w:tcW w:w="6300" w:type="dxa"/>
            <w:vAlign w:val="bottom"/>
          </w:tcPr>
          <w:p>
            <w:pPr>
              <w:ind w:left="140"/>
              <w:spacing w:after="0"/>
              <w:rPr>
                <w:sz w:val="20"/>
                <w:szCs w:val="20"/>
                <w:color w:val="auto"/>
              </w:rPr>
            </w:pPr>
            <w:r>
              <w:rPr>
                <w:rFonts w:ascii="Arial" w:cs="Arial" w:eastAsia="Arial" w:hAnsi="Arial"/>
                <w:sz w:val="18"/>
                <w:szCs w:val="18"/>
                <w:color w:val="auto"/>
              </w:rPr>
              <w:t>Increased Costs.</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5.11</w:t>
            </w:r>
          </w:p>
        </w:tc>
        <w:tc>
          <w:tcPr>
            <w:tcW w:w="6300" w:type="dxa"/>
            <w:vAlign w:val="bottom"/>
          </w:tcPr>
          <w:p>
            <w:pPr>
              <w:ind w:left="140"/>
              <w:spacing w:after="0"/>
              <w:rPr>
                <w:sz w:val="20"/>
                <w:szCs w:val="20"/>
                <w:color w:val="auto"/>
              </w:rPr>
            </w:pPr>
            <w:r>
              <w:rPr>
                <w:rFonts w:ascii="Arial" w:cs="Arial" w:eastAsia="Arial" w:hAnsi="Arial"/>
                <w:sz w:val="18"/>
                <w:szCs w:val="18"/>
                <w:color w:val="auto"/>
              </w:rPr>
              <w:t>Taxes.</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5.12  Mitigation Obligations; Replacement of Lenders</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5.13</w:t>
            </w:r>
          </w:p>
        </w:tc>
        <w:tc>
          <w:tcPr>
            <w:tcW w:w="6300" w:type="dxa"/>
            <w:vAlign w:val="bottom"/>
          </w:tcPr>
          <w:p>
            <w:pPr>
              <w:ind w:left="140"/>
              <w:spacing w:after="0"/>
              <w:rPr>
                <w:sz w:val="20"/>
                <w:szCs w:val="20"/>
                <w:color w:val="auto"/>
              </w:rPr>
            </w:pPr>
            <w:r>
              <w:rPr>
                <w:rFonts w:ascii="Arial" w:cs="Arial" w:eastAsia="Arial" w:hAnsi="Arial"/>
                <w:sz w:val="18"/>
                <w:szCs w:val="18"/>
                <w:color w:val="auto"/>
              </w:rPr>
              <w:t>Incremental Loans.</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5.14</w:t>
            </w:r>
          </w:p>
        </w:tc>
        <w:tc>
          <w:tcPr>
            <w:tcW w:w="6300" w:type="dxa"/>
            <w:vAlign w:val="bottom"/>
          </w:tcPr>
          <w:p>
            <w:pPr>
              <w:ind w:left="140"/>
              <w:spacing w:after="0"/>
              <w:rPr>
                <w:sz w:val="20"/>
                <w:szCs w:val="20"/>
                <w:color w:val="auto"/>
              </w:rPr>
            </w:pPr>
            <w:r>
              <w:rPr>
                <w:rFonts w:ascii="Arial" w:cs="Arial" w:eastAsia="Arial" w:hAnsi="Arial"/>
                <w:sz w:val="18"/>
                <w:szCs w:val="18"/>
                <w:color w:val="auto"/>
              </w:rPr>
              <w:t>Cash Collateral.</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5.15</w:t>
            </w:r>
          </w:p>
        </w:tc>
        <w:tc>
          <w:tcPr>
            <w:tcW w:w="6300" w:type="dxa"/>
            <w:vAlign w:val="bottom"/>
          </w:tcPr>
          <w:p>
            <w:pPr>
              <w:ind w:left="140"/>
              <w:spacing w:after="0"/>
              <w:rPr>
                <w:sz w:val="20"/>
                <w:szCs w:val="20"/>
                <w:color w:val="auto"/>
              </w:rPr>
            </w:pPr>
            <w:r>
              <w:rPr>
                <w:rFonts w:ascii="Arial" w:cs="Arial" w:eastAsia="Arial" w:hAnsi="Arial"/>
                <w:sz w:val="18"/>
                <w:szCs w:val="18"/>
                <w:color w:val="auto"/>
              </w:rPr>
              <w:t>Defaulting Lenders.</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ARTICLE VI CONDITIONS OF CLOSING AND BORROWING</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6.1  Conditions to Closing and Initial Extensions of Credit</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6.2  Conditions to All Extensions of Credit.</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ARTICLE VII REPRESENTATIONS AND WARRANTIES OF THE CREDIT PARTIES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7.1  Organization; Power; Qualification.</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7.2</w:t>
            </w:r>
          </w:p>
        </w:tc>
        <w:tc>
          <w:tcPr>
            <w:tcW w:w="6300" w:type="dxa"/>
            <w:vAlign w:val="bottom"/>
          </w:tcPr>
          <w:p>
            <w:pPr>
              <w:ind w:left="60"/>
              <w:spacing w:after="0"/>
              <w:rPr>
                <w:sz w:val="20"/>
                <w:szCs w:val="20"/>
                <w:color w:val="auto"/>
              </w:rPr>
            </w:pPr>
            <w:r>
              <w:rPr>
                <w:rFonts w:ascii="Arial" w:cs="Arial" w:eastAsia="Arial" w:hAnsi="Arial"/>
                <w:sz w:val="18"/>
                <w:szCs w:val="18"/>
                <w:color w:val="auto"/>
              </w:rPr>
              <w:t>Ownership.</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7.3</w:t>
            </w:r>
          </w:p>
        </w:tc>
        <w:tc>
          <w:tcPr>
            <w:tcW w:w="6300" w:type="dxa"/>
            <w:vAlign w:val="bottom"/>
          </w:tcPr>
          <w:p>
            <w:pPr>
              <w:ind w:left="40"/>
              <w:spacing w:after="0"/>
              <w:rPr>
                <w:sz w:val="20"/>
                <w:szCs w:val="20"/>
                <w:color w:val="auto"/>
              </w:rPr>
            </w:pPr>
            <w:r>
              <w:rPr>
                <w:rFonts w:ascii="Arial" w:cs="Arial" w:eastAsia="Arial" w:hAnsi="Arial"/>
                <w:sz w:val="18"/>
                <w:szCs w:val="18"/>
                <w:color w:val="auto"/>
              </w:rPr>
              <w:t>Authorization; Enforceability.</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78"/>
        </w:trPr>
        <w:tc>
          <w:tcPr>
            <w:tcW w:w="7460" w:type="dxa"/>
            <w:vAlign w:val="bottom"/>
            <w:gridSpan w:val="2"/>
          </w:tcPr>
          <w:p>
            <w:pPr>
              <w:spacing w:after="0"/>
              <w:rPr>
                <w:sz w:val="20"/>
                <w:szCs w:val="20"/>
                <w:color w:val="auto"/>
              </w:rPr>
            </w:pPr>
            <w:r>
              <w:rPr>
                <w:rFonts w:ascii="Arial" w:cs="Arial" w:eastAsia="Arial" w:hAnsi="Arial"/>
                <w:sz w:val="18"/>
                <w:szCs w:val="18"/>
                <w:color w:val="auto"/>
              </w:rPr>
              <w:t>SECTION 7.4  Compliance of Agreement, Loan Documents and Borrowing with Laws, Etc.</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7.5  Compliance with Law; Governmental Approvals.</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7.6  Tax Returns and Payments.</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7.7  Intellectual Property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7.8</w:t>
            </w:r>
          </w:p>
        </w:tc>
        <w:tc>
          <w:tcPr>
            <w:tcW w:w="630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7.9  Employee Benefit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7.10</w:t>
            </w:r>
          </w:p>
        </w:tc>
        <w:tc>
          <w:tcPr>
            <w:tcW w:w="6300" w:type="dxa"/>
            <w:vAlign w:val="bottom"/>
          </w:tcPr>
          <w:p>
            <w:pPr>
              <w:ind w:left="140"/>
              <w:spacing w:after="0"/>
              <w:rPr>
                <w:sz w:val="20"/>
                <w:szCs w:val="20"/>
                <w:color w:val="auto"/>
              </w:rPr>
            </w:pPr>
            <w:r>
              <w:rPr>
                <w:rFonts w:ascii="Arial" w:cs="Arial" w:eastAsia="Arial" w:hAnsi="Arial"/>
                <w:sz w:val="18"/>
                <w:szCs w:val="18"/>
                <w:color w:val="auto"/>
              </w:rPr>
              <w:t>Margin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7.11</w:t>
            </w:r>
          </w:p>
        </w:tc>
        <w:tc>
          <w:tcPr>
            <w:tcW w:w="6300" w:type="dxa"/>
            <w:vAlign w:val="bottom"/>
          </w:tcPr>
          <w:p>
            <w:pPr>
              <w:ind w:left="140"/>
              <w:spacing w:after="0"/>
              <w:rPr>
                <w:sz w:val="20"/>
                <w:szCs w:val="20"/>
                <w:color w:val="auto"/>
              </w:rPr>
            </w:pPr>
            <w:r>
              <w:rPr>
                <w:rFonts w:ascii="Arial" w:cs="Arial" w:eastAsia="Arial" w:hAnsi="Arial"/>
                <w:sz w:val="18"/>
                <w:szCs w:val="18"/>
                <w:color w:val="auto"/>
              </w:rPr>
              <w:t>Government Regulation.</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7.12</w:t>
            </w:r>
          </w:p>
        </w:tc>
        <w:tc>
          <w:tcPr>
            <w:tcW w:w="6300" w:type="dxa"/>
            <w:vAlign w:val="bottom"/>
          </w:tcPr>
          <w:p>
            <w:pPr>
              <w:ind w:left="140"/>
              <w:spacing w:after="0"/>
              <w:rPr>
                <w:sz w:val="20"/>
                <w:szCs w:val="20"/>
                <w:color w:val="auto"/>
              </w:rPr>
            </w:pPr>
            <w:r>
              <w:rPr>
                <w:rFonts w:ascii="Arial" w:cs="Arial" w:eastAsia="Arial" w:hAnsi="Arial"/>
                <w:sz w:val="18"/>
                <w:szCs w:val="18"/>
                <w:color w:val="auto"/>
              </w:rPr>
              <w:t>Material Contracts.</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7.13</w:t>
            </w:r>
          </w:p>
        </w:tc>
        <w:tc>
          <w:tcPr>
            <w:tcW w:w="6300" w:type="dxa"/>
            <w:vAlign w:val="bottom"/>
          </w:tcPr>
          <w:p>
            <w:pPr>
              <w:ind w:left="140"/>
              <w:spacing w:after="0"/>
              <w:rPr>
                <w:sz w:val="20"/>
                <w:szCs w:val="20"/>
                <w:color w:val="auto"/>
              </w:rPr>
            </w:pPr>
            <w:r>
              <w:rPr>
                <w:rFonts w:ascii="Arial" w:cs="Arial" w:eastAsia="Arial" w:hAnsi="Arial"/>
                <w:sz w:val="18"/>
                <w:szCs w:val="18"/>
                <w:color w:val="auto"/>
              </w:rPr>
              <w:t>Employee Relations.</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7.14</w:t>
            </w:r>
          </w:p>
        </w:tc>
        <w:tc>
          <w:tcPr>
            <w:tcW w:w="6300" w:type="dxa"/>
            <w:vAlign w:val="bottom"/>
          </w:tcPr>
          <w:p>
            <w:pPr>
              <w:ind w:left="140"/>
              <w:spacing w:after="0"/>
              <w:rPr>
                <w:sz w:val="20"/>
                <w:szCs w:val="20"/>
                <w:color w:val="auto"/>
              </w:rPr>
            </w:pPr>
            <w:r>
              <w:rPr>
                <w:rFonts w:ascii="Arial" w:cs="Arial" w:eastAsia="Arial" w:hAnsi="Arial"/>
                <w:sz w:val="18"/>
                <w:szCs w:val="18"/>
                <w:color w:val="auto"/>
              </w:rPr>
              <w:t>Burdensome Provisions.</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7.15</w:t>
            </w:r>
          </w:p>
        </w:tc>
        <w:tc>
          <w:tcPr>
            <w:tcW w:w="630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7.16  No Material Adverse Change.</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7.17</w:t>
            </w:r>
          </w:p>
        </w:tc>
        <w:tc>
          <w:tcPr>
            <w:tcW w:w="6300" w:type="dxa"/>
            <w:vAlign w:val="bottom"/>
          </w:tcPr>
          <w:p>
            <w:pPr>
              <w:ind w:left="140"/>
              <w:spacing w:after="0"/>
              <w:rPr>
                <w:sz w:val="20"/>
                <w:szCs w:val="20"/>
                <w:color w:val="auto"/>
              </w:rPr>
            </w:pPr>
            <w:r>
              <w:rPr>
                <w:rFonts w:ascii="Arial" w:cs="Arial" w:eastAsia="Arial" w:hAnsi="Arial"/>
                <w:sz w:val="18"/>
                <w:szCs w:val="18"/>
                <w:color w:val="auto"/>
              </w:rPr>
              <w:t>Solvency</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7.18  Title to Properties.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7.19</w:t>
            </w:r>
          </w:p>
        </w:tc>
        <w:tc>
          <w:tcPr>
            <w:tcW w:w="630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7.20  Anti-Terrorism; Anti-Money Laundering.</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7.21  Absence of Defaults.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7.22  Senior Indebtedness Status.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7.23</w:t>
            </w:r>
          </w:p>
        </w:tc>
        <w:tc>
          <w:tcPr>
            <w:tcW w:w="6300" w:type="dxa"/>
            <w:vAlign w:val="bottom"/>
          </w:tcPr>
          <w:p>
            <w:pPr>
              <w:ind w:left="140"/>
              <w:spacing w:after="0"/>
              <w:rPr>
                <w:sz w:val="20"/>
                <w:szCs w:val="20"/>
                <w:color w:val="auto"/>
              </w:rPr>
            </w:pPr>
            <w:r>
              <w:rPr>
                <w:rFonts w:ascii="Arial" w:cs="Arial" w:eastAsia="Arial" w:hAnsi="Arial"/>
                <w:sz w:val="18"/>
                <w:szCs w:val="18"/>
                <w:color w:val="auto"/>
              </w:rPr>
              <w:t>Disclosure.</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7.24  Flood Hazard Insurance.</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ARTICLE VIII AFFIRMATIVE COVENANTS</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8.1  Financial Statements and Budgets.</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8.2  Certificates; Other Reports</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8.3  Notice of Litigation and Other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8.4  Preservation of Corporate Existence and Related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8.5  Maintenance of Property and Licenses.</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8.6</w:t>
            </w:r>
          </w:p>
        </w:tc>
        <w:tc>
          <w:tcPr>
            <w:tcW w:w="63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8.7  Accounting Methods and Financial Records.</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8.8  Payment of Taxes and Other Obligations.</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7460" w:type="dxa"/>
            <w:vAlign w:val="bottom"/>
            <w:gridSpan w:val="2"/>
          </w:tcPr>
          <w:p>
            <w:pPr>
              <w:spacing w:after="0"/>
              <w:rPr>
                <w:sz w:val="20"/>
                <w:szCs w:val="20"/>
                <w:color w:val="auto"/>
              </w:rPr>
            </w:pPr>
            <w:r>
              <w:rPr>
                <w:rFonts w:ascii="Arial" w:cs="Arial" w:eastAsia="Arial" w:hAnsi="Arial"/>
                <w:sz w:val="18"/>
                <w:szCs w:val="18"/>
                <w:color w:val="auto"/>
              </w:rPr>
              <w:t>SECTION 8.9  Compliance with Laws and Approvals.</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8.10</w:t>
            </w:r>
          </w:p>
        </w:tc>
        <w:tc>
          <w:tcPr>
            <w:tcW w:w="6300" w:type="dxa"/>
            <w:vAlign w:val="bottom"/>
          </w:tcPr>
          <w:p>
            <w:pPr>
              <w:ind w:left="140"/>
              <w:spacing w:after="0"/>
              <w:rPr>
                <w:sz w:val="20"/>
                <w:szCs w:val="20"/>
                <w:color w:val="auto"/>
              </w:rPr>
            </w:pPr>
            <w:r>
              <w:rPr>
                <w:rFonts w:ascii="Arial" w:cs="Arial" w:eastAsia="Arial" w:hAnsi="Arial"/>
                <w:sz w:val="18"/>
                <w:szCs w:val="18"/>
                <w:color w:val="auto"/>
              </w:rPr>
              <w:t>Environmental Laws.</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ectPr>
          <w:pgSz w:w="11900" w:h="16838" w:orient="portrait"/>
          <w:cols w:equalWidth="0" w:num="1">
            <w:col w:w="10079"/>
          </w:cols>
          <w:pgMar w:left="380" w:top="855" w:right="1440" w:bottom="1440" w:gutter="0" w:footer="0" w:header="0"/>
        </w:sectPr>
      </w:pPr>
    </w:p>
    <w:p>
      <w:pPr>
        <w:spacing w:after="0" w:line="5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079"/>
          </w:cols>
          <w:pgMar w:left="380" w:top="855" w:right="1440"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SECTION 8.11  Compliance with ERISA.</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8.12  Visits and Inspections.</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8.13  Additional Subsidiaries and Real Property.</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8.14</w:t>
            </w:r>
          </w:p>
        </w:tc>
        <w:tc>
          <w:tcPr>
            <w:tcW w:w="6180" w:type="dxa"/>
            <w:vAlign w:val="bottom"/>
          </w:tcPr>
          <w:p>
            <w:pPr>
              <w:ind w:left="140"/>
              <w:spacing w:after="0"/>
              <w:rPr>
                <w:sz w:val="20"/>
                <w:szCs w:val="20"/>
                <w:color w:val="auto"/>
              </w:rPr>
            </w:pPr>
            <w:r>
              <w:rPr>
                <w:rFonts w:ascii="Arial" w:cs="Arial" w:eastAsia="Arial" w:hAnsi="Arial"/>
                <w:sz w:val="18"/>
                <w:szCs w:val="18"/>
                <w:color w:val="auto"/>
              </w:rPr>
              <w:t>Hedge Agreement.</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8.15</w:t>
            </w:r>
          </w:p>
        </w:tc>
        <w:tc>
          <w:tcPr>
            <w:tcW w:w="618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8.16</w:t>
            </w:r>
          </w:p>
        </w:tc>
        <w:tc>
          <w:tcPr>
            <w:tcW w:w="6180" w:type="dxa"/>
            <w:vAlign w:val="bottom"/>
          </w:tcPr>
          <w:p>
            <w:pPr>
              <w:ind w:left="140"/>
              <w:spacing w:after="0"/>
              <w:rPr>
                <w:sz w:val="20"/>
                <w:szCs w:val="20"/>
                <w:color w:val="auto"/>
              </w:rPr>
            </w:pPr>
            <w:r>
              <w:rPr>
                <w:rFonts w:ascii="Arial" w:cs="Arial" w:eastAsia="Arial" w:hAnsi="Arial"/>
                <w:sz w:val="18"/>
                <w:szCs w:val="18"/>
                <w:color w:val="auto"/>
              </w:rPr>
              <w:t>Corporate Governance.</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8.17</w:t>
            </w:r>
          </w:p>
        </w:tc>
        <w:tc>
          <w:tcPr>
            <w:tcW w:w="618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8.18</w:t>
            </w:r>
          </w:p>
        </w:tc>
        <w:tc>
          <w:tcPr>
            <w:tcW w:w="6180" w:type="dxa"/>
            <w:vAlign w:val="bottom"/>
          </w:tcPr>
          <w:p>
            <w:pPr>
              <w:ind w:left="140"/>
              <w:spacing w:after="0"/>
              <w:rPr>
                <w:sz w:val="20"/>
                <w:szCs w:val="20"/>
                <w:color w:val="auto"/>
              </w:rPr>
            </w:pPr>
            <w:r>
              <w:rPr>
                <w:rFonts w:ascii="Arial" w:cs="Arial" w:eastAsia="Arial" w:hAnsi="Arial"/>
                <w:sz w:val="18"/>
                <w:szCs w:val="18"/>
                <w:color w:val="auto"/>
              </w:rPr>
              <w:t>Post-Closing Matters.</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9.1</w:t>
            </w:r>
          </w:p>
        </w:tc>
        <w:tc>
          <w:tcPr>
            <w:tcW w:w="6180" w:type="dxa"/>
            <w:vAlign w:val="bottom"/>
          </w:tcPr>
          <w:p>
            <w:pPr>
              <w:ind w:left="60"/>
              <w:spacing w:after="0"/>
              <w:rPr>
                <w:sz w:val="20"/>
                <w:szCs w:val="20"/>
                <w:color w:val="auto"/>
              </w:rPr>
            </w:pPr>
            <w:r>
              <w:rPr>
                <w:rFonts w:ascii="Arial" w:cs="Arial" w:eastAsia="Arial" w:hAnsi="Arial"/>
                <w:sz w:val="18"/>
                <w:szCs w:val="18"/>
                <w:color w:val="auto"/>
              </w:rPr>
              <w:t>Indebtedness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9.2</w:t>
            </w:r>
          </w:p>
        </w:tc>
        <w:tc>
          <w:tcPr>
            <w:tcW w:w="6180" w:type="dxa"/>
            <w:vAlign w:val="bottom"/>
          </w:tcPr>
          <w:p>
            <w:pPr>
              <w:ind w:left="60"/>
              <w:spacing w:after="0"/>
              <w:rPr>
                <w:sz w:val="20"/>
                <w:szCs w:val="20"/>
                <w:color w:val="auto"/>
              </w:rPr>
            </w:pPr>
            <w:r>
              <w:rPr>
                <w:rFonts w:ascii="Arial" w:cs="Arial" w:eastAsia="Arial" w:hAnsi="Arial"/>
                <w:sz w:val="18"/>
                <w:szCs w:val="18"/>
                <w:color w:val="auto"/>
              </w:rPr>
              <w:t>Liens.</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9.3</w:t>
            </w:r>
          </w:p>
        </w:tc>
        <w:tc>
          <w:tcPr>
            <w:tcW w:w="6180" w:type="dxa"/>
            <w:vAlign w:val="bottom"/>
          </w:tcPr>
          <w:p>
            <w:pPr>
              <w:ind w:left="60"/>
              <w:spacing w:after="0"/>
              <w:rPr>
                <w:sz w:val="20"/>
                <w:szCs w:val="20"/>
                <w:color w:val="auto"/>
              </w:rPr>
            </w:pPr>
            <w:r>
              <w:rPr>
                <w:rFonts w:ascii="Arial" w:cs="Arial" w:eastAsia="Arial" w:hAnsi="Arial"/>
                <w:sz w:val="18"/>
                <w:szCs w:val="18"/>
                <w:color w:val="auto"/>
              </w:rPr>
              <w:t>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9.4</w:t>
            </w:r>
          </w:p>
        </w:tc>
        <w:tc>
          <w:tcPr>
            <w:tcW w:w="6180" w:type="dxa"/>
            <w:vAlign w:val="bottom"/>
          </w:tcPr>
          <w:p>
            <w:pPr>
              <w:ind w:left="60"/>
              <w:spacing w:after="0"/>
              <w:rPr>
                <w:sz w:val="20"/>
                <w:szCs w:val="20"/>
                <w:color w:val="auto"/>
              </w:rPr>
            </w:pPr>
            <w:r>
              <w:rPr>
                <w:rFonts w:ascii="Arial" w:cs="Arial" w:eastAsia="Arial" w:hAnsi="Arial"/>
                <w:sz w:val="18"/>
                <w:szCs w:val="18"/>
                <w:color w:val="auto"/>
              </w:rPr>
              <w:t>Fundamental Changes.</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9.5</w:t>
            </w:r>
          </w:p>
        </w:tc>
        <w:tc>
          <w:tcPr>
            <w:tcW w:w="6180" w:type="dxa"/>
            <w:vAlign w:val="bottom"/>
          </w:tcPr>
          <w:p>
            <w:pPr>
              <w:ind w:left="40"/>
              <w:spacing w:after="0"/>
              <w:rPr>
                <w:sz w:val="20"/>
                <w:szCs w:val="20"/>
                <w:color w:val="auto"/>
              </w:rPr>
            </w:pPr>
            <w:r>
              <w:rPr>
                <w:rFonts w:ascii="Arial" w:cs="Arial" w:eastAsia="Arial" w:hAnsi="Arial"/>
                <w:sz w:val="18"/>
                <w:szCs w:val="18"/>
                <w:color w:val="auto"/>
              </w:rPr>
              <w:t>Asset Dispositions.</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SECTION 9.6</w:t>
            </w:r>
          </w:p>
        </w:tc>
        <w:tc>
          <w:tcPr>
            <w:tcW w:w="6180" w:type="dxa"/>
            <w:vAlign w:val="bottom"/>
          </w:tcPr>
          <w:p>
            <w:pPr>
              <w:ind w:left="60"/>
              <w:spacing w:after="0"/>
              <w:rPr>
                <w:sz w:val="20"/>
                <w:szCs w:val="20"/>
                <w:color w:val="auto"/>
              </w:rPr>
            </w:pPr>
            <w:r>
              <w:rPr>
                <w:rFonts w:ascii="Arial" w:cs="Arial" w:eastAsia="Arial" w:hAnsi="Arial"/>
                <w:sz w:val="18"/>
                <w:szCs w:val="18"/>
                <w:color w:val="auto"/>
              </w:rPr>
              <w:t>Restricted Payments.</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9.7  Transactions with Affiliates.</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9.8  Accounting Changes; Organizational Documents.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9.9  Payments and Modifications of Subordinated Indebtedness.</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9.10  No Further Negative Pledges; Restrictive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9.11  Nature of Business.</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9.12</w:t>
            </w:r>
          </w:p>
        </w:tc>
        <w:tc>
          <w:tcPr>
            <w:tcW w:w="6180" w:type="dxa"/>
            <w:vAlign w:val="bottom"/>
          </w:tcPr>
          <w:p>
            <w:pPr>
              <w:ind w:left="140"/>
              <w:spacing w:after="0"/>
              <w:rPr>
                <w:sz w:val="20"/>
                <w:szCs w:val="20"/>
                <w:color w:val="auto"/>
              </w:rPr>
            </w:pPr>
            <w:r>
              <w:rPr>
                <w:rFonts w:ascii="Arial" w:cs="Arial" w:eastAsia="Arial" w:hAnsi="Arial"/>
                <w:sz w:val="18"/>
                <w:szCs w:val="18"/>
                <w:color w:val="auto"/>
              </w:rPr>
              <w:t>Sale Leasebacks.</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9.13</w:t>
            </w:r>
          </w:p>
        </w:tc>
        <w:tc>
          <w:tcPr>
            <w:tcW w:w="618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9.14</w:t>
            </w:r>
          </w:p>
        </w:tc>
        <w:tc>
          <w:tcPr>
            <w:tcW w:w="6180" w:type="dxa"/>
            <w:vAlign w:val="bottom"/>
          </w:tcPr>
          <w:p>
            <w:pPr>
              <w:ind w:left="140"/>
              <w:spacing w:after="0"/>
              <w:rPr>
                <w:sz w:val="20"/>
                <w:szCs w:val="20"/>
                <w:color w:val="auto"/>
              </w:rPr>
            </w:pPr>
            <w:r>
              <w:rPr>
                <w:rFonts w:ascii="Arial" w:cs="Arial" w:eastAsia="Arial" w:hAnsi="Arial"/>
                <w:sz w:val="18"/>
                <w:szCs w:val="18"/>
                <w:color w:val="auto"/>
              </w:rPr>
              <w:t>Financial Covenants.</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9.15  Limitations on Holdings. Permit Holdings to:</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9.16  Disposal of Subsidiary Interests.</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ARTICLE X DEFAULT AND REMEDIES</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10.1  Events of Default.</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10.2</w:t>
            </w:r>
          </w:p>
        </w:tc>
        <w:tc>
          <w:tcPr>
            <w:tcW w:w="6180" w:type="dxa"/>
            <w:vAlign w:val="bottom"/>
          </w:tcPr>
          <w:p>
            <w:pPr>
              <w:ind w:left="140"/>
              <w:spacing w:after="0"/>
              <w:rPr>
                <w:sz w:val="20"/>
                <w:szCs w:val="20"/>
                <w:color w:val="auto"/>
              </w:rPr>
            </w:pPr>
            <w:r>
              <w:rPr>
                <w:rFonts w:ascii="Arial" w:cs="Arial" w:eastAsia="Arial" w:hAnsi="Arial"/>
                <w:sz w:val="18"/>
                <w:szCs w:val="18"/>
                <w:color w:val="auto"/>
              </w:rPr>
              <w:t>Remedies.</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10.3  Rights and Remedies Cumulative; Non-Waiver; etc.</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10.4  Crediting of Payments and Proceeds.</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10.5  Administrative Agent May File Proofs of Claim.</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10.6</w:t>
            </w:r>
          </w:p>
        </w:tc>
        <w:tc>
          <w:tcPr>
            <w:tcW w:w="6180" w:type="dxa"/>
            <w:vAlign w:val="bottom"/>
          </w:tcPr>
          <w:p>
            <w:pPr>
              <w:ind w:left="140"/>
              <w:spacing w:after="0"/>
              <w:rPr>
                <w:sz w:val="20"/>
                <w:szCs w:val="20"/>
                <w:color w:val="auto"/>
              </w:rPr>
            </w:pPr>
            <w:r>
              <w:rPr>
                <w:rFonts w:ascii="Arial" w:cs="Arial" w:eastAsia="Arial" w:hAnsi="Arial"/>
                <w:sz w:val="18"/>
                <w:szCs w:val="18"/>
                <w:color w:val="auto"/>
              </w:rPr>
              <w:t>Credit Bidding.</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ARTICLE XI THE ADMINISTRATIVE AGENT</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11.1  Appointment and Authority.</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11.2  Rights as a Lender.</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11.3</w:t>
            </w:r>
          </w:p>
        </w:tc>
        <w:tc>
          <w:tcPr>
            <w:tcW w:w="6180" w:type="dxa"/>
            <w:vAlign w:val="bottom"/>
          </w:tcPr>
          <w:p>
            <w:pPr>
              <w:ind w:left="140"/>
              <w:spacing w:after="0"/>
              <w:rPr>
                <w:sz w:val="20"/>
                <w:szCs w:val="20"/>
                <w:color w:val="auto"/>
              </w:rPr>
            </w:pPr>
            <w:r>
              <w:rPr>
                <w:rFonts w:ascii="Arial" w:cs="Arial" w:eastAsia="Arial" w:hAnsi="Arial"/>
                <w:sz w:val="18"/>
                <w:szCs w:val="18"/>
                <w:color w:val="auto"/>
              </w:rPr>
              <w:t>Exculpatory Provisions.</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11.4  Reliance by the Administrative Agent.</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11.5  Delegation of Duties.</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11.6  Resignation of Administrative Agent.</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11.7 Non-Reliance on Administrative Agent and Other Lenders.</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11.8  No Other Duties, Etc.</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11.9  Collateral and Guaranty Matters.</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w w:val="99"/>
              </w:rPr>
              <w:t>SECTION 11.10 Secured Hedge Agreements and Secured Cash Management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w w:val="94"/>
              </w:rPr>
              <w:t>SECTION 12.1</w:t>
            </w:r>
          </w:p>
        </w:tc>
        <w:tc>
          <w:tcPr>
            <w:tcW w:w="6180" w:type="dxa"/>
            <w:vAlign w:val="bottom"/>
          </w:tcPr>
          <w:p>
            <w:pPr>
              <w:ind w:left="140"/>
              <w:spacing w:after="0"/>
              <w:rPr>
                <w:sz w:val="20"/>
                <w:szCs w:val="20"/>
                <w:color w:val="auto"/>
              </w:rPr>
            </w:pPr>
            <w:r>
              <w:rPr>
                <w:rFonts w:ascii="Arial" w:cs="Arial" w:eastAsia="Arial" w:hAnsi="Arial"/>
                <w:sz w:val="18"/>
                <w:szCs w:val="18"/>
                <w:color w:val="auto"/>
              </w:rPr>
              <w:t>Notices.</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SECTION 12.2  Amendments, Waivers and Consents.</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00" w:lineRule="exact"/>
        <w:rPr>
          <w:sz w:val="20"/>
          <w:szCs w:val="20"/>
          <w:color w:val="auto"/>
        </w:rPr>
      </w:pPr>
    </w:p>
    <w:p>
      <w:pPr>
        <w:sectPr>
          <w:pgSz w:w="11900" w:h="16838" w:orient="portrait"/>
          <w:cols w:equalWidth="0" w:num="1">
            <w:col w:w="10079"/>
          </w:cols>
          <w:pgMar w:left="380" w:top="855" w:right="1440" w:bottom="1440" w:gutter="0" w:footer="0" w:header="0"/>
        </w:sectPr>
      </w:pPr>
    </w:p>
    <w:p>
      <w:pPr>
        <w:spacing w:after="0" w:line="5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079"/>
          </w:cols>
          <w:pgMar w:left="380" w:top="855" w:right="1440"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1220" w:type="dxa"/>
            <w:vAlign w:val="bottom"/>
            <w:gridSpan w:val="5"/>
          </w:tcPr>
          <w:p>
            <w:pPr>
              <w:spacing w:after="0"/>
              <w:rPr>
                <w:sz w:val="20"/>
                <w:szCs w:val="20"/>
                <w:color w:val="auto"/>
              </w:rPr>
            </w:pPr>
            <w:r>
              <w:rPr>
                <w:rFonts w:ascii="Arial" w:cs="Arial" w:eastAsia="Arial" w:hAnsi="Arial"/>
                <w:sz w:val="18"/>
                <w:szCs w:val="18"/>
                <w:color w:val="auto"/>
                <w:w w:val="99"/>
              </w:rPr>
              <w:t>SECTION 12.3</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Expenses; Indemnity</w:t>
            </w:r>
          </w:p>
        </w:tc>
        <w:tc>
          <w:tcPr>
            <w:tcW w:w="740" w:type="dxa"/>
            <w:vAlign w:val="bottom"/>
          </w:tcPr>
          <w:p>
            <w:pPr>
              <w:ind w:left="460"/>
              <w:spacing w:after="0"/>
              <w:rPr>
                <w:sz w:val="20"/>
                <w:szCs w:val="20"/>
                <w:color w:val="auto"/>
              </w:rPr>
            </w:pPr>
            <w:r>
              <w:rPr>
                <w:rFonts w:ascii="Arial" w:cs="Arial" w:eastAsia="Arial" w:hAnsi="Arial"/>
                <w:sz w:val="18"/>
                <w:szCs w:val="18"/>
                <w:color w:val="auto"/>
              </w:rPr>
              <w:t>92</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9"/>
              </w:rPr>
              <w:t>SECTION 12.4</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Right of Setoff</w:t>
            </w:r>
          </w:p>
        </w:tc>
        <w:tc>
          <w:tcPr>
            <w:tcW w:w="740" w:type="dxa"/>
            <w:vAlign w:val="bottom"/>
          </w:tcPr>
          <w:p>
            <w:pPr>
              <w:ind w:left="460"/>
              <w:spacing w:after="0"/>
              <w:rPr>
                <w:sz w:val="20"/>
                <w:szCs w:val="20"/>
                <w:color w:val="auto"/>
              </w:rPr>
            </w:pPr>
            <w:r>
              <w:rPr>
                <w:rFonts w:ascii="Arial" w:cs="Arial" w:eastAsia="Arial" w:hAnsi="Arial"/>
                <w:sz w:val="18"/>
                <w:szCs w:val="18"/>
                <w:color w:val="auto"/>
              </w:rPr>
              <w:t>93</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9"/>
              </w:rPr>
              <w:t>SECTION 12.5</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Governing Law; Jurisdiction, Etc.</w:t>
            </w:r>
          </w:p>
        </w:tc>
        <w:tc>
          <w:tcPr>
            <w:tcW w:w="740" w:type="dxa"/>
            <w:vAlign w:val="bottom"/>
          </w:tcPr>
          <w:p>
            <w:pPr>
              <w:ind w:left="460"/>
              <w:spacing w:after="0"/>
              <w:rPr>
                <w:sz w:val="20"/>
                <w:szCs w:val="20"/>
                <w:color w:val="auto"/>
              </w:rPr>
            </w:pPr>
            <w:r>
              <w:rPr>
                <w:rFonts w:ascii="Arial" w:cs="Arial" w:eastAsia="Arial" w:hAnsi="Arial"/>
                <w:sz w:val="18"/>
                <w:szCs w:val="18"/>
                <w:color w:val="auto"/>
              </w:rPr>
              <w:t>94</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9"/>
              </w:rPr>
              <w:t>SECTION 12.6</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Waiver of Jury Trial.</w:t>
            </w:r>
          </w:p>
        </w:tc>
        <w:tc>
          <w:tcPr>
            <w:tcW w:w="740" w:type="dxa"/>
            <w:vAlign w:val="bottom"/>
          </w:tcPr>
          <w:p>
            <w:pPr>
              <w:ind w:left="460"/>
              <w:spacing w:after="0"/>
              <w:rPr>
                <w:sz w:val="20"/>
                <w:szCs w:val="20"/>
                <w:color w:val="auto"/>
              </w:rPr>
            </w:pPr>
            <w:r>
              <w:rPr>
                <w:rFonts w:ascii="Arial" w:cs="Arial" w:eastAsia="Arial" w:hAnsi="Arial"/>
                <w:sz w:val="18"/>
                <w:szCs w:val="18"/>
                <w:color w:val="auto"/>
              </w:rPr>
              <w:t>95</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9"/>
              </w:rPr>
              <w:t>SECTION 12.7</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Reversal of Payments.</w:t>
            </w:r>
          </w:p>
        </w:tc>
        <w:tc>
          <w:tcPr>
            <w:tcW w:w="740" w:type="dxa"/>
            <w:vAlign w:val="bottom"/>
          </w:tcPr>
          <w:p>
            <w:pPr>
              <w:ind w:left="460"/>
              <w:spacing w:after="0"/>
              <w:rPr>
                <w:sz w:val="20"/>
                <w:szCs w:val="20"/>
                <w:color w:val="auto"/>
              </w:rPr>
            </w:pPr>
            <w:r>
              <w:rPr>
                <w:rFonts w:ascii="Arial" w:cs="Arial" w:eastAsia="Arial" w:hAnsi="Arial"/>
                <w:sz w:val="18"/>
                <w:szCs w:val="18"/>
                <w:color w:val="auto"/>
              </w:rPr>
              <w:t>95</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9"/>
              </w:rPr>
              <w:t>SECTION 12.8</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Injunctive Relief.</w:t>
            </w:r>
          </w:p>
        </w:tc>
        <w:tc>
          <w:tcPr>
            <w:tcW w:w="740" w:type="dxa"/>
            <w:vAlign w:val="bottom"/>
          </w:tcPr>
          <w:p>
            <w:pPr>
              <w:ind w:left="460"/>
              <w:spacing w:after="0"/>
              <w:rPr>
                <w:sz w:val="20"/>
                <w:szCs w:val="20"/>
                <w:color w:val="auto"/>
              </w:rPr>
            </w:pPr>
            <w:r>
              <w:rPr>
                <w:rFonts w:ascii="Arial" w:cs="Arial" w:eastAsia="Arial" w:hAnsi="Arial"/>
                <w:sz w:val="18"/>
                <w:szCs w:val="18"/>
                <w:color w:val="auto"/>
              </w:rPr>
              <w:t>95</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9"/>
              </w:rPr>
              <w:t>SECTION 12.9</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Successors and Assigns; Participations.</w:t>
            </w:r>
          </w:p>
        </w:tc>
        <w:tc>
          <w:tcPr>
            <w:tcW w:w="740" w:type="dxa"/>
            <w:vAlign w:val="bottom"/>
          </w:tcPr>
          <w:p>
            <w:pPr>
              <w:ind w:left="460"/>
              <w:spacing w:after="0"/>
              <w:rPr>
                <w:sz w:val="20"/>
                <w:szCs w:val="20"/>
                <w:color w:val="auto"/>
              </w:rPr>
            </w:pPr>
            <w:r>
              <w:rPr>
                <w:rFonts w:ascii="Arial" w:cs="Arial" w:eastAsia="Arial" w:hAnsi="Arial"/>
                <w:sz w:val="18"/>
                <w:szCs w:val="18"/>
                <w:color w:val="auto"/>
              </w:rPr>
              <w:t>95</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12.10</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Treatment of Certain Information; Confidentiality</w:t>
            </w:r>
          </w:p>
        </w:tc>
        <w:tc>
          <w:tcPr>
            <w:tcW w:w="740" w:type="dxa"/>
            <w:vAlign w:val="bottom"/>
          </w:tcPr>
          <w:p>
            <w:pPr>
              <w:ind w:left="460"/>
              <w:spacing w:after="0"/>
              <w:rPr>
                <w:sz w:val="20"/>
                <w:szCs w:val="20"/>
                <w:color w:val="auto"/>
              </w:rPr>
            </w:pPr>
            <w:r>
              <w:rPr>
                <w:rFonts w:ascii="Arial" w:cs="Arial" w:eastAsia="Arial" w:hAnsi="Arial"/>
                <w:sz w:val="18"/>
                <w:szCs w:val="18"/>
                <w:color w:val="auto"/>
              </w:rPr>
              <w:t>98</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12.11</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Performance of Duties</w:t>
            </w:r>
          </w:p>
        </w:tc>
        <w:tc>
          <w:tcPr>
            <w:tcW w:w="74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270"/>
        </w:trPr>
        <w:tc>
          <w:tcPr>
            <w:tcW w:w="7700" w:type="dxa"/>
            <w:vAlign w:val="bottom"/>
            <w:gridSpan w:val="7"/>
          </w:tcPr>
          <w:p>
            <w:pPr>
              <w:spacing w:after="0"/>
              <w:rPr>
                <w:sz w:val="20"/>
                <w:szCs w:val="20"/>
                <w:color w:val="auto"/>
              </w:rPr>
            </w:pPr>
            <w:r>
              <w:rPr>
                <w:rFonts w:ascii="Arial" w:cs="Arial" w:eastAsia="Arial" w:hAnsi="Arial"/>
                <w:sz w:val="18"/>
                <w:szCs w:val="18"/>
                <w:color w:val="auto"/>
              </w:rPr>
              <w:t>SECTION 12.12 All Powers Coupled with Interest.</w:t>
            </w:r>
          </w:p>
        </w:tc>
        <w:tc>
          <w:tcPr>
            <w:tcW w:w="74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270"/>
        </w:trPr>
        <w:tc>
          <w:tcPr>
            <w:tcW w:w="7700" w:type="dxa"/>
            <w:vAlign w:val="bottom"/>
            <w:gridSpan w:val="7"/>
          </w:tcPr>
          <w:p>
            <w:pPr>
              <w:spacing w:after="0"/>
              <w:rPr>
                <w:sz w:val="20"/>
                <w:szCs w:val="20"/>
                <w:color w:val="auto"/>
              </w:rPr>
            </w:pPr>
            <w:r>
              <w:rPr>
                <w:rFonts w:ascii="Arial" w:cs="Arial" w:eastAsia="Arial" w:hAnsi="Arial"/>
                <w:sz w:val="18"/>
                <w:szCs w:val="18"/>
                <w:color w:val="auto"/>
              </w:rPr>
              <w:t>SECTION 12.13 Survival.</w:t>
            </w:r>
          </w:p>
        </w:tc>
        <w:tc>
          <w:tcPr>
            <w:tcW w:w="74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12.14</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Titles and Captions.</w:t>
            </w:r>
          </w:p>
        </w:tc>
        <w:tc>
          <w:tcPr>
            <w:tcW w:w="74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12.15</w:t>
            </w:r>
          </w:p>
        </w:tc>
        <w:tc>
          <w:tcPr>
            <w:tcW w:w="16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Severability of Provisions.</w:t>
            </w:r>
          </w:p>
        </w:tc>
        <w:tc>
          <w:tcPr>
            <w:tcW w:w="74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12.16</w:t>
            </w:r>
          </w:p>
        </w:tc>
        <w:tc>
          <w:tcPr>
            <w:tcW w:w="16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Counterparts; Integration; Effectiveness; Electronic Execution.</w:t>
            </w:r>
          </w:p>
        </w:tc>
        <w:tc>
          <w:tcPr>
            <w:tcW w:w="74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12.17</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Term of Agreement.</w:t>
            </w:r>
          </w:p>
        </w:tc>
        <w:tc>
          <w:tcPr>
            <w:tcW w:w="740" w:type="dxa"/>
            <w:vAlign w:val="bottom"/>
          </w:tcPr>
          <w:p>
            <w:pPr>
              <w:ind w:left="460"/>
              <w:spacing w:after="0"/>
              <w:rPr>
                <w:sz w:val="20"/>
                <w:szCs w:val="20"/>
                <w:color w:val="auto"/>
              </w:rPr>
            </w:pPr>
            <w:r>
              <w:rPr>
                <w:rFonts w:ascii="Arial" w:cs="Arial" w:eastAsia="Arial" w:hAnsi="Arial"/>
                <w:sz w:val="18"/>
                <w:szCs w:val="18"/>
                <w:color w:val="auto"/>
                <w:w w:val="86"/>
              </w:rPr>
              <w:t>100</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12.18</w:t>
            </w:r>
          </w:p>
        </w:tc>
        <w:tc>
          <w:tcPr>
            <w:tcW w:w="16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USA PATRIOT Act.</w:t>
            </w:r>
          </w:p>
        </w:tc>
        <w:tc>
          <w:tcPr>
            <w:tcW w:w="740" w:type="dxa"/>
            <w:vAlign w:val="bottom"/>
          </w:tcPr>
          <w:p>
            <w:pPr>
              <w:ind w:left="460"/>
              <w:spacing w:after="0"/>
              <w:rPr>
                <w:sz w:val="20"/>
                <w:szCs w:val="20"/>
                <w:color w:val="auto"/>
              </w:rPr>
            </w:pPr>
            <w:r>
              <w:rPr>
                <w:rFonts w:ascii="Arial" w:cs="Arial" w:eastAsia="Arial" w:hAnsi="Arial"/>
                <w:sz w:val="18"/>
                <w:szCs w:val="18"/>
                <w:color w:val="auto"/>
                <w:w w:val="86"/>
              </w:rPr>
              <w:t>100</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12.19</w:t>
            </w:r>
          </w:p>
        </w:tc>
        <w:tc>
          <w:tcPr>
            <w:tcW w:w="16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Independent Effect of Covenants.</w:t>
            </w:r>
          </w:p>
        </w:tc>
        <w:tc>
          <w:tcPr>
            <w:tcW w:w="740" w:type="dxa"/>
            <w:vAlign w:val="bottom"/>
          </w:tcPr>
          <w:p>
            <w:pPr>
              <w:ind w:left="460"/>
              <w:spacing w:after="0"/>
              <w:rPr>
                <w:sz w:val="20"/>
                <w:szCs w:val="20"/>
                <w:color w:val="auto"/>
              </w:rPr>
            </w:pPr>
            <w:r>
              <w:rPr>
                <w:rFonts w:ascii="Arial" w:cs="Arial" w:eastAsia="Arial" w:hAnsi="Arial"/>
                <w:sz w:val="18"/>
                <w:szCs w:val="18"/>
                <w:color w:val="auto"/>
                <w:w w:val="86"/>
              </w:rPr>
              <w:t>100</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12.20</w:t>
            </w:r>
          </w:p>
        </w:tc>
        <w:tc>
          <w:tcPr>
            <w:tcW w:w="16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No Advisory or Fiduciary Responsibility.</w:t>
            </w:r>
          </w:p>
        </w:tc>
        <w:tc>
          <w:tcPr>
            <w:tcW w:w="740" w:type="dxa"/>
            <w:vAlign w:val="bottom"/>
          </w:tcPr>
          <w:p>
            <w:pPr>
              <w:ind w:left="460"/>
              <w:spacing w:after="0"/>
              <w:rPr>
                <w:sz w:val="20"/>
                <w:szCs w:val="20"/>
                <w:color w:val="auto"/>
              </w:rPr>
            </w:pPr>
            <w:r>
              <w:rPr>
                <w:rFonts w:ascii="Arial" w:cs="Arial" w:eastAsia="Arial" w:hAnsi="Arial"/>
                <w:sz w:val="18"/>
                <w:szCs w:val="18"/>
                <w:color w:val="auto"/>
                <w:w w:val="86"/>
              </w:rPr>
              <w:t>100</w:t>
            </w:r>
          </w:p>
        </w:tc>
      </w:tr>
      <w:tr>
        <w:trPr>
          <w:trHeight w:val="270"/>
        </w:trPr>
        <w:tc>
          <w:tcPr>
            <w:tcW w:w="1220" w:type="dxa"/>
            <w:vAlign w:val="bottom"/>
            <w:gridSpan w:val="5"/>
          </w:tcPr>
          <w:p>
            <w:pPr>
              <w:spacing w:after="0"/>
              <w:rPr>
                <w:sz w:val="20"/>
                <w:szCs w:val="20"/>
                <w:color w:val="auto"/>
              </w:rPr>
            </w:pPr>
            <w:r>
              <w:rPr>
                <w:rFonts w:ascii="Arial" w:cs="Arial" w:eastAsia="Arial" w:hAnsi="Arial"/>
                <w:sz w:val="18"/>
                <w:szCs w:val="18"/>
                <w:color w:val="auto"/>
                <w:w w:val="92"/>
              </w:rPr>
              <w:t>SECTION 12.21</w:t>
            </w:r>
          </w:p>
        </w:tc>
        <w:tc>
          <w:tcPr>
            <w:tcW w:w="16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Inconsistencies with Other Documents.</w:t>
            </w:r>
          </w:p>
        </w:tc>
        <w:tc>
          <w:tcPr>
            <w:tcW w:w="740" w:type="dxa"/>
            <w:vAlign w:val="bottom"/>
          </w:tcPr>
          <w:p>
            <w:pPr>
              <w:ind w:left="460"/>
              <w:spacing w:after="0"/>
              <w:rPr>
                <w:sz w:val="20"/>
                <w:szCs w:val="20"/>
                <w:color w:val="auto"/>
              </w:rPr>
            </w:pPr>
            <w:r>
              <w:rPr>
                <w:rFonts w:ascii="Arial" w:cs="Arial" w:eastAsia="Arial" w:hAnsi="Arial"/>
                <w:sz w:val="18"/>
                <w:szCs w:val="18"/>
                <w:color w:val="auto"/>
                <w:w w:val="86"/>
              </w:rPr>
              <w:t>101</w:t>
            </w:r>
          </w:p>
        </w:tc>
      </w:tr>
      <w:tr>
        <w:trPr>
          <w:trHeight w:val="621"/>
        </w:trPr>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7"/>
        </w:trPr>
        <w:tc>
          <w:tcPr>
            <w:tcW w:w="1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A-1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Revolving Credit Note</w:t>
            </w:r>
          </w:p>
        </w:tc>
        <w:tc>
          <w:tcPr>
            <w:tcW w:w="7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A-2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Swingline Note</w:t>
            </w:r>
          </w:p>
        </w:tc>
        <w:tc>
          <w:tcPr>
            <w:tcW w:w="7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A-3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Term Loan Note</w:t>
            </w:r>
          </w:p>
        </w:tc>
        <w:tc>
          <w:tcPr>
            <w:tcW w:w="7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Form of Notice of Borrowing</w:t>
            </w:r>
          </w:p>
        </w:tc>
        <w:tc>
          <w:tcPr>
            <w:tcW w:w="740" w:type="dxa"/>
            <w:vAlign w:val="bottom"/>
          </w:tcPr>
          <w:p>
            <w:pPr>
              <w:spacing w:after="0"/>
              <w:rPr>
                <w:sz w:val="23"/>
                <w:szCs w:val="23"/>
                <w:color w:val="auto"/>
              </w:rPr>
            </w:pPr>
          </w:p>
        </w:tc>
      </w:tr>
      <w:tr>
        <w:trPr>
          <w:trHeight w:val="486"/>
        </w:trPr>
        <w:tc>
          <w:tcPr>
            <w:tcW w:w="1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Form of Notice of Account Designation</w:t>
            </w:r>
          </w:p>
        </w:tc>
        <w:tc>
          <w:tcPr>
            <w:tcW w:w="74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Form of Notice of Prepayment</w:t>
            </w:r>
          </w:p>
        </w:tc>
        <w:tc>
          <w:tcPr>
            <w:tcW w:w="74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Form of Notice of Conversion/Continuation</w:t>
            </w:r>
          </w:p>
        </w:tc>
        <w:tc>
          <w:tcPr>
            <w:tcW w:w="7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Form of Officer’s Compliance Certificate</w:t>
            </w:r>
          </w:p>
        </w:tc>
        <w:tc>
          <w:tcPr>
            <w:tcW w:w="7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Form of Assignment and Assumption</w:t>
            </w:r>
          </w:p>
        </w:tc>
        <w:tc>
          <w:tcPr>
            <w:tcW w:w="7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3"/>
              </w:rPr>
              <w:t>Exhibit H-1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U.S. Tax Compliance Certificate (Non-Partnership Foreign Lenders)</w:t>
            </w:r>
          </w:p>
        </w:tc>
        <w:tc>
          <w:tcPr>
            <w:tcW w:w="740" w:type="dxa"/>
            <w:vAlign w:val="bottom"/>
          </w:tcPr>
          <w:p>
            <w:pPr>
              <w:spacing w:after="0"/>
              <w:rPr>
                <w:sz w:val="23"/>
                <w:szCs w:val="23"/>
                <w:color w:val="auto"/>
              </w:rPr>
            </w:pPr>
          </w:p>
        </w:tc>
      </w:tr>
      <w:tr>
        <w:trPr>
          <w:trHeight w:val="486"/>
        </w:trPr>
        <w:tc>
          <w:tcPr>
            <w:tcW w:w="1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3"/>
              </w:rPr>
              <w:t>Exhibit H-2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9"/>
              </w:rPr>
              <w:t>Form of U.S. Tax Compliance Certificate (Non-Partnership Foreign Participants)</w:t>
            </w:r>
          </w:p>
        </w:tc>
        <w:tc>
          <w:tcPr>
            <w:tcW w:w="7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3"/>
              </w:rPr>
              <w:t>Exhibit H-3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U.S. Tax Compliance Certificate (Foreign Participant Partnerships)</w:t>
            </w:r>
          </w:p>
        </w:tc>
        <w:tc>
          <w:tcPr>
            <w:tcW w:w="740" w:type="dxa"/>
            <w:vAlign w:val="bottom"/>
          </w:tcPr>
          <w:p>
            <w:pPr>
              <w:spacing w:after="0"/>
              <w:rPr>
                <w:sz w:val="23"/>
                <w:szCs w:val="23"/>
                <w:color w:val="auto"/>
              </w:rPr>
            </w:pPr>
          </w:p>
        </w:tc>
      </w:tr>
      <w:tr>
        <w:trPr>
          <w:trHeight w:val="486"/>
        </w:trPr>
        <w:tc>
          <w:tcPr>
            <w:tcW w:w="1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3"/>
              </w:rPr>
              <w:t>Exhibit H-4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U.S. Tax Compliance Certificate (Foreign Lender Partnerships)</w:t>
            </w:r>
          </w:p>
        </w:tc>
        <w:tc>
          <w:tcPr>
            <w:tcW w:w="74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7580" w:type="dxa"/>
            <w:vAlign w:val="bottom"/>
            <w:gridSpan w:val="6"/>
          </w:tcPr>
          <w:p>
            <w:pPr>
              <w:spacing w:after="0"/>
              <w:rPr>
                <w:sz w:val="20"/>
                <w:szCs w:val="20"/>
                <w:color w:val="auto"/>
              </w:rPr>
            </w:pPr>
            <w:r>
              <w:rPr>
                <w:rFonts w:ascii="Arial" w:cs="Arial" w:eastAsia="Arial" w:hAnsi="Arial"/>
                <w:sz w:val="18"/>
                <w:szCs w:val="18"/>
                <w:color w:val="auto"/>
              </w:rPr>
              <w:t>Exhibit I  -  Funding Indemnity Letter</w:t>
            </w:r>
          </w:p>
        </w:tc>
        <w:tc>
          <w:tcPr>
            <w:tcW w:w="740" w:type="dxa"/>
            <w:vAlign w:val="bottom"/>
          </w:tcPr>
          <w:p>
            <w:pPr>
              <w:spacing w:after="0"/>
              <w:rPr>
                <w:sz w:val="24"/>
                <w:szCs w:val="24"/>
                <w:color w:val="auto"/>
              </w:rPr>
            </w:pPr>
          </w:p>
        </w:tc>
      </w:tr>
      <w:tr>
        <w:trPr>
          <w:trHeight w:val="770"/>
        </w:trPr>
        <w:tc>
          <w:tcPr>
            <w:tcW w:w="120" w:type="dxa"/>
            <w:vAlign w:val="bottom"/>
          </w:tcPr>
          <w:p>
            <w:pPr>
              <w:spacing w:after="0"/>
              <w:rPr>
                <w:sz w:val="24"/>
                <w:szCs w:val="24"/>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SCHEDULES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7"/>
        </w:trPr>
        <w:tc>
          <w:tcPr>
            <w:tcW w:w="12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w w:val="97"/>
              </w:rPr>
              <w:t>Schedule 1.1(a)</w:t>
            </w:r>
          </w:p>
        </w:tc>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Existing Letters of Credit</w:t>
            </w:r>
          </w:p>
        </w:tc>
        <w:tc>
          <w:tcPr>
            <w:tcW w:w="7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w w:val="97"/>
              </w:rPr>
              <w:t>Schedule 1.1(b)</w:t>
            </w:r>
          </w:p>
        </w:tc>
        <w:tc>
          <w:tcPr>
            <w:tcW w:w="632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and Commitment Percentages</w:t>
            </w:r>
          </w:p>
        </w:tc>
        <w:tc>
          <w:tcPr>
            <w:tcW w:w="7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3"/>
              </w:rPr>
              <w:t>Schedule 8.18</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w w:val="74"/>
              </w:rPr>
              <w:t>-</w:t>
            </w:r>
          </w:p>
        </w:tc>
        <w:tc>
          <w:tcPr>
            <w:tcW w:w="6320" w:type="dxa"/>
            <w:vAlign w:val="bottom"/>
          </w:tcPr>
          <w:p>
            <w:pPr>
              <w:ind w:left="180"/>
              <w:spacing w:after="0"/>
              <w:rPr>
                <w:sz w:val="20"/>
                <w:szCs w:val="20"/>
                <w:color w:val="auto"/>
              </w:rPr>
            </w:pPr>
            <w:r>
              <w:rPr>
                <w:rFonts w:ascii="Arial" w:cs="Arial" w:eastAsia="Arial" w:hAnsi="Arial"/>
                <w:sz w:val="18"/>
                <w:szCs w:val="18"/>
                <w:color w:val="auto"/>
              </w:rPr>
              <w:t>Post-Closing Matters</w:t>
            </w:r>
          </w:p>
        </w:tc>
        <w:tc>
          <w:tcPr>
            <w:tcW w:w="7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079"/>
          </w:cols>
          <w:pgMar w:left="380" w:top="854" w:right="1440" w:bottom="1440" w:gutter="0" w:footer="0" w:header="0"/>
        </w:sectPr>
      </w:pPr>
    </w:p>
    <w:p>
      <w:pPr>
        <w:spacing w:after="0" w:line="27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079"/>
          </w:cols>
          <w:pgMar w:left="380" w:top="854" w:right="1440" w:bottom="1440" w:gutter="0" w:footer="0" w:header="0"/>
          <w:type w:val="continuous"/>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CREDIT AGREEMENT, dated as of August 19, 2014, by and among FIDELITY NEWPORT HOLDINGS, LLC, a Delaware limited liability company, as Holdings, ABRH, LLC, a Delaware limited liability company, as Borrower,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8"/>
          <w:szCs w:val="18"/>
          <w:u w:val="single" w:color="auto"/>
          <w:color w:val="auto"/>
        </w:rPr>
        <w:t>STATEMENT OF PURPOSE</w:t>
      </w:r>
    </w:p>
    <w:p>
      <w:pPr>
        <w:spacing w:after="0" w:line="2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Borrower has requested, and subject to the terms and conditions set forth in this Agreement, the Administrative Agent and the Lenders have agreed to extend, certain credit facilities to the Borrower.</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such parties hereby agree as follows:</w:t>
      </w:r>
    </w:p>
    <w:p>
      <w:pPr>
        <w:spacing w:after="0" w:line="27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ARTICLE I DEFINITIONS</w:t>
      </w:r>
    </w:p>
    <w:p>
      <w:pPr>
        <w:spacing w:after="0" w:line="104" w:lineRule="exact"/>
        <w:rPr>
          <w:sz w:val="20"/>
          <w:szCs w:val="20"/>
          <w:color w:val="auto"/>
        </w:rPr>
      </w:pPr>
    </w:p>
    <w:p>
      <w:pPr>
        <w:ind w:right="3960" w:firstLine="635"/>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following terms when used in this Agreement shall have the meanings assigned to them below:</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Wells Fargo, in its capacity as Administrative Agent hereunder, and any successor thereto appointed pursuant to </w:t>
      </w:r>
      <w:r>
        <w:rPr>
          <w:rFonts w:ascii="Arial" w:cs="Arial" w:eastAsia="Arial" w:hAnsi="Arial"/>
          <w:sz w:val="18"/>
          <w:szCs w:val="18"/>
          <w:u w:val="single" w:color="auto"/>
          <w:color w:val="auto"/>
        </w:rPr>
        <w:t>Section 11.6.</w:t>
      </w:r>
    </w:p>
    <w:p>
      <w:pPr>
        <w:spacing w:after="0" w:line="2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office of the Administrative Agent specified in or determined in accordance with the provisions of </w:t>
      </w:r>
      <w:r>
        <w:rPr>
          <w:rFonts w:ascii="Arial" w:cs="Arial" w:eastAsia="Arial" w:hAnsi="Arial"/>
          <w:sz w:val="18"/>
          <w:szCs w:val="18"/>
          <w:u w:val="single" w:color="auto"/>
          <w:color w:val="auto"/>
        </w:rPr>
        <w:t>Section 12.1(c).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a form supplied by the Administrative Agent.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this Credit Agreement.</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xml:space="preserve"> means the corresponding percentages per annum as set forth below based on the Total Lease Adjusted Leverage Ratio:</w:t>
      </w:r>
    </w:p>
    <w:p>
      <w:pPr>
        <w:spacing w:after="0" w:line="366" w:lineRule="exact"/>
        <w:rPr>
          <w:sz w:val="20"/>
          <w:szCs w:val="20"/>
          <w:color w:val="auto"/>
        </w:rPr>
      </w:pPr>
    </w:p>
    <w:tbl>
      <w:tblPr>
        <w:tblLayout w:type="fixed"/>
        <w:tblInd w:w="1310" w:type="dxa"/>
        <w:tblCellMar>
          <w:top w:w="0" w:type="dxa"/>
          <w:left w:w="0" w:type="dxa"/>
          <w:bottom w:w="0" w:type="dxa"/>
          <w:right w:w="0" w:type="dxa"/>
        </w:tblCellMar>
      </w:tblPr>
      <w:tr>
        <w:trPr>
          <w:trHeight w:val="257"/>
        </w:trPr>
        <w:tc>
          <w:tcPr>
            <w:tcW w:w="9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9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Revolving Credit Loans</w:t>
            </w: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Term Loans</w:t>
            </w:r>
          </w:p>
        </w:tc>
        <w:tc>
          <w:tcPr>
            <w:tcW w:w="1040" w:type="dxa"/>
            <w:vAlign w:val="bottom"/>
            <w:tcBorders>
              <w:top w:val="single" w:sz="8" w:color="auto"/>
              <w:right w:val="single" w:sz="8" w:color="auto"/>
            </w:tcBorders>
          </w:tcPr>
          <w:p>
            <w:pPr>
              <w:spacing w:after="0"/>
              <w:rPr>
                <w:sz w:val="22"/>
                <w:szCs w:val="22"/>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8"/>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Pricing</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Lease Adjusted</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Commitment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LIBOR</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Base Rate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LIBOR</w:t>
            </w:r>
          </w:p>
        </w:tc>
        <w:tc>
          <w:tcPr>
            <w:tcW w:w="20" w:type="dxa"/>
            <w:vAlign w:val="bottom"/>
          </w:tcPr>
          <w:p>
            <w:pPr>
              <w:spacing w:after="0"/>
              <w:rPr>
                <w:sz w:val="18"/>
                <w:szCs w:val="18"/>
                <w:color w:val="auto"/>
              </w:rPr>
            </w:pPr>
          </w:p>
        </w:tc>
        <w:tc>
          <w:tcPr>
            <w:tcW w:w="10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Base Rate</w:t>
            </w:r>
          </w:p>
        </w:tc>
      </w:tr>
      <w:tr>
        <w:trPr>
          <w:trHeight w:val="234"/>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Level</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Leverage Ratio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Fee</w:t>
            </w:r>
          </w:p>
        </w:tc>
        <w:tc>
          <w:tcPr>
            <w:tcW w:w="9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0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9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IV</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Less than 4.00 to 1.00</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0.325%</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2.25%</w:t>
            </w:r>
          </w:p>
        </w:tc>
        <w:tc>
          <w:tcPr>
            <w:tcW w:w="104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90"/>
              </w:rPr>
              <w:t>1.25%</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0"/>
                <w:szCs w:val="20"/>
                <w:color w:val="auto"/>
              </w:rPr>
            </w:pPr>
          </w:p>
        </w:tc>
        <w:tc>
          <w:tcPr>
            <w:tcW w:w="10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6"/>
              </w:rPr>
              <w:t>1.25%</w:t>
            </w: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22"/>
        </w:trPr>
        <w:tc>
          <w:tcPr>
            <w:tcW w:w="900" w:type="dxa"/>
            <w:vAlign w:val="bottom"/>
            <w:tcBorders>
              <w:left w:val="single" w:sz="8" w:color="auto"/>
              <w:right w:val="single" w:sz="8" w:color="auto"/>
            </w:tcBorders>
          </w:tcPr>
          <w:p>
            <w:pPr>
              <w:spacing w:after="0"/>
              <w:rPr>
                <w:sz w:val="19"/>
                <w:szCs w:val="19"/>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Greater than or equal to</w:t>
            </w:r>
          </w:p>
        </w:tc>
        <w:tc>
          <w:tcPr>
            <w:tcW w:w="118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4.00 to 1.00, but less than</w:t>
            </w: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30"/>
        </w:trPr>
        <w:tc>
          <w:tcPr>
            <w:tcW w:w="9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III</w:t>
            </w: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4.50 to 1.00</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0.350%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2.50%</w:t>
            </w:r>
          </w:p>
        </w:tc>
        <w:tc>
          <w:tcPr>
            <w:tcW w:w="104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90"/>
              </w:rPr>
              <w:t>1.50%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20"/>
                <w:szCs w:val="20"/>
                <w:color w:val="auto"/>
              </w:rPr>
            </w:pPr>
          </w:p>
        </w:tc>
        <w:tc>
          <w:tcPr>
            <w:tcW w:w="10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6"/>
              </w:rPr>
              <w:t>1.50%</w:t>
            </w: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32768810_5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440" w:top="652" w:right="239" w:bottom="1440" w:gutter="0" w:footer="0" w:header="0"/>
        </w:sectPr>
      </w:pPr>
    </w:p>
    <w:bookmarkStart w:id="78" w:name="page79"/>
    <w:bookmarkEnd w:id="78"/>
    <w:tbl>
      <w:tblPr>
        <w:tblLayout w:type="fixed"/>
        <w:tblInd w:w="1390" w:type="dxa"/>
        <w:tblCellMar>
          <w:top w:w="0" w:type="dxa"/>
          <w:left w:w="0" w:type="dxa"/>
          <w:bottom w:w="0" w:type="dxa"/>
          <w:right w:w="0" w:type="dxa"/>
        </w:tblCellMar>
      </w:tblPr>
      <w:tr>
        <w:trPr>
          <w:trHeight w:val="257"/>
        </w:trPr>
        <w:tc>
          <w:tcPr>
            <w:tcW w:w="820" w:type="dxa"/>
            <w:vAlign w:val="bottom"/>
            <w:tcBorders>
              <w:top w:val="single" w:sz="8" w:color="auto"/>
              <w:left w:val="single" w:sz="8" w:color="auto"/>
            </w:tcBorders>
          </w:tcPr>
          <w:p>
            <w:pPr>
              <w:spacing w:after="0"/>
              <w:rPr>
                <w:sz w:val="22"/>
                <w:szCs w:val="22"/>
                <w:color w:val="auto"/>
              </w:rPr>
            </w:pPr>
          </w:p>
        </w:tc>
        <w:tc>
          <w:tcPr>
            <w:tcW w:w="228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II</w:t>
            </w:r>
          </w:p>
        </w:tc>
        <w:tc>
          <w:tcPr>
            <w:tcW w:w="1320" w:type="dxa"/>
            <w:vAlign w:val="bottom"/>
            <w:tcBorders>
              <w:top w:val="single" w:sz="8" w:color="auto"/>
              <w:right w:val="single" w:sz="8" w:color="auto"/>
            </w:tcBorders>
          </w:tcPr>
          <w:p>
            <w:pPr>
              <w:spacing w:after="0"/>
              <w:rPr>
                <w:sz w:val="22"/>
                <w:szCs w:val="22"/>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3"/>
              </w:rPr>
              <w:t>2.75%</w:t>
            </w:r>
          </w:p>
        </w:tc>
        <w:tc>
          <w:tcPr>
            <w:tcW w:w="1060" w:type="dxa"/>
            <w:vAlign w:val="bottom"/>
            <w:tcBorders>
              <w:top w:val="single" w:sz="8" w:color="auto"/>
              <w:right w:val="single" w:sz="8" w:color="auto"/>
            </w:tcBorders>
          </w:tcPr>
          <w:p>
            <w:pPr>
              <w:spacing w:after="0"/>
              <w:rPr>
                <w:sz w:val="22"/>
                <w:szCs w:val="22"/>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0"/>
              </w:rPr>
              <w:t>2.75%</w:t>
            </w:r>
          </w:p>
        </w:tc>
        <w:tc>
          <w:tcPr>
            <w:tcW w:w="1080" w:type="dxa"/>
            <w:vAlign w:val="bottom"/>
            <w:tcBorders>
              <w:top w:val="single" w:sz="8" w:color="auto"/>
              <w:right w:val="single" w:sz="8" w:color="auto"/>
            </w:tcBorders>
          </w:tcPr>
          <w:p>
            <w:pPr>
              <w:spacing w:after="0"/>
              <w:rPr>
                <w:sz w:val="22"/>
                <w:szCs w:val="22"/>
                <w:color w:val="auto"/>
              </w:rPr>
            </w:pPr>
          </w:p>
        </w:tc>
      </w:tr>
      <w:tr>
        <w:trPr>
          <w:trHeight w:val="27"/>
        </w:trPr>
        <w:tc>
          <w:tcPr>
            <w:tcW w:w="82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22"/>
        </w:trPr>
        <w:tc>
          <w:tcPr>
            <w:tcW w:w="82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Greater than or equal to</w:t>
            </w:r>
          </w:p>
        </w:tc>
        <w:tc>
          <w:tcPr>
            <w:tcW w:w="132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r>
      <w:tr>
        <w:trPr>
          <w:trHeight w:val="230"/>
        </w:trPr>
        <w:tc>
          <w:tcPr>
            <w:tcW w:w="82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I</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5.00 to 1.00</w:t>
            </w:r>
          </w:p>
        </w:tc>
        <w:tc>
          <w:tcPr>
            <w:tcW w:w="13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w w:val="91"/>
              </w:rPr>
              <w:t>0.400%</w:t>
            </w:r>
          </w:p>
        </w:tc>
        <w:tc>
          <w:tcPr>
            <w:tcW w:w="9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93"/>
              </w:rPr>
              <w:t>3.00%</w:t>
            </w:r>
          </w:p>
        </w:tc>
        <w:tc>
          <w:tcPr>
            <w:tcW w:w="10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90"/>
              </w:rPr>
              <w:t>2.00%</w:t>
            </w:r>
          </w:p>
        </w:tc>
        <w:tc>
          <w:tcPr>
            <w:tcW w:w="9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90"/>
              </w:rPr>
              <w:t>3.00%</w:t>
            </w:r>
          </w:p>
        </w:tc>
        <w:tc>
          <w:tcPr>
            <w:tcW w:w="10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w w:val="90"/>
              </w:rPr>
              <w:t>2.00%</w:t>
            </w:r>
          </w:p>
        </w:tc>
      </w:tr>
      <w:tr>
        <w:trPr>
          <w:trHeight w:val="27"/>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jc w:val="both"/>
        <w:ind w:left="80"/>
        <w:spacing w:after="0" w:line="269" w:lineRule="auto"/>
        <w:rPr>
          <w:sz w:val="20"/>
          <w:szCs w:val="20"/>
          <w:color w:val="auto"/>
        </w:rPr>
      </w:pPr>
      <w:r>
        <w:rPr>
          <w:rFonts w:ascii="Arial" w:cs="Arial" w:eastAsia="Arial" w:hAnsi="Arial"/>
          <w:sz w:val="17"/>
          <w:szCs w:val="17"/>
          <w:color w:val="auto"/>
        </w:rPr>
        <w:t xml:space="preserve">The Applicable Margin shall be determined and adjusted quarterly on the date five (5) Business Days after the day on which the Borrower provides an Officer’s Compliance Certificate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for the most recently ended fiscal quarter of the Borrower (each such date, a “</w:t>
      </w:r>
      <w:r>
        <w:rPr>
          <w:rFonts w:ascii="Arial" w:cs="Arial" w:eastAsia="Arial" w:hAnsi="Arial"/>
          <w:sz w:val="17"/>
          <w:szCs w:val="17"/>
          <w:u w:val="single" w:color="auto"/>
          <w:color w:val="auto"/>
        </w:rPr>
        <w:t>Calculation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Applicable Margin shall be based on Pricing Level II until the first Calculation Date occurring after the Closing Date and, thereafter the Pricing Level shall be determined by reference to the Total Lease Adjusted Leverage Ratio as of the last day of the most recently ended fiscal quarter of the Borrower preceding the applicable Calculation Date, and (b) if the Borrower fails to provide an Officer’s Compliance Certificate when due as required by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for the most recently ended fiscal quarter of the Borrower preceding the applicable Calculation Date, the Applicable Margin from the date on which such Officer’s Compliance Certificate was required to have been delivered shall be based on Pricing Level I until such time as such Officer’s Compliance Certificate is delivered, at which time the Pricing Level shall be determined by reference to the Total Lease Adjusted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96" w:lineRule="exact"/>
        <w:rPr>
          <w:sz w:val="20"/>
          <w:szCs w:val="20"/>
          <w:color w:val="auto"/>
        </w:rPr>
      </w:pPr>
    </w:p>
    <w:p>
      <w:pPr>
        <w:jc w:val="both"/>
        <w:ind w:left="80"/>
        <w:spacing w:after="0" w:line="266" w:lineRule="auto"/>
        <w:rPr>
          <w:sz w:val="20"/>
          <w:szCs w:val="20"/>
          <w:color w:val="auto"/>
        </w:rPr>
      </w:pPr>
      <w:r>
        <w:rPr>
          <w:rFonts w:ascii="Arial" w:cs="Arial" w:eastAsia="Arial" w:hAnsi="Arial"/>
          <w:sz w:val="18"/>
          <w:szCs w:val="18"/>
          <w:color w:val="auto"/>
        </w:rPr>
        <w:t xml:space="preserve">Notwithstanding the foregoing, in the event that any financial statement or Officer’s Compliance Certificate delivered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8.2(a)</w:t>
      </w:r>
      <w:r>
        <w:rPr>
          <w:rFonts w:ascii="Arial" w:cs="Arial" w:eastAsia="Arial" w:hAnsi="Arial"/>
          <w:sz w:val="18"/>
          <w:szCs w:val="18"/>
          <w:color w:val="auto"/>
        </w:rPr>
        <w:t xml:space="preserve"> is shown to be inaccurate (regardless of whether</w:t>
      </w:r>
    </w:p>
    <w:p>
      <w:pPr>
        <w:jc w:val="both"/>
        <w:ind w:left="80" w:hanging="3"/>
        <w:spacing w:after="0" w:line="341"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Agreement is in effect, (ii) any Commitments are in effect, or (iii) any Extension of Credit is outstanding when such inaccuracy is discovered or such financial statement or Officer’s Compliance Certificate was delivered), and such inaccuracy, if corrected, would have led to the application of a higher Applicable Margin for any period (an “</w:t>
      </w:r>
      <w:r>
        <w:rPr>
          <w:rFonts w:ascii="Arial" w:cs="Arial" w:eastAsia="Arial" w:hAnsi="Arial"/>
          <w:sz w:val="16"/>
          <w:szCs w:val="16"/>
          <w:u w:val="single" w:color="auto"/>
          <w:color w:val="auto"/>
        </w:rPr>
        <w:t>Applicable Period”</w:t>
      </w:r>
      <w:r>
        <w:rPr>
          <w:rFonts w:ascii="Arial" w:cs="Arial" w:eastAsia="Arial" w:hAnsi="Arial"/>
          <w:sz w:val="16"/>
          <w:szCs w:val="16"/>
          <w:color w:val="auto"/>
        </w:rPr>
        <w:t xml:space="preserve">) than the Applicable Margin applied for such Applicable Period, then (A) the Borrower shall promptly deliver to the Administrative Agent a corrected Officer’s Compliance Certificate for such Applicable Period, (B) the Applicable Margin for such Applicable Period shall be determined as if the Total Lease Adjusted Leverage Ratio in the corrected Officer’s Compliance Certificate were applicable for such Applicable Period, and (C) the Borrower shall be obligated to pay to the Administrative Agent within three (3) Business Days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Nothing in this paragraph shall limit the rights of the Administrative Agent and Lenders with respect to </w:t>
      </w:r>
      <w:r>
        <w:rPr>
          <w:rFonts w:ascii="Arial" w:cs="Arial" w:eastAsia="Arial" w:hAnsi="Arial"/>
          <w:sz w:val="16"/>
          <w:szCs w:val="16"/>
          <w:u w:val="single" w:color="auto"/>
          <w:color w:val="auto"/>
        </w:rPr>
        <w:t>Sections 5.1(b)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The Applicable Margins set forth above shall be increased as, and to the extent, required by </w:t>
      </w:r>
      <w:r>
        <w:rPr>
          <w:rFonts w:ascii="Arial" w:cs="Arial" w:eastAsia="Arial" w:hAnsi="Arial"/>
          <w:sz w:val="18"/>
          <w:szCs w:val="18"/>
          <w:u w:val="single" w:color="auto"/>
          <w:color w:val="auto"/>
        </w:rPr>
        <w:t>Section 5.13.</w:t>
      </w:r>
    </w:p>
    <w:p>
      <w:pPr>
        <w:spacing w:after="0" w:line="279" w:lineRule="exact"/>
        <w:rPr>
          <w:sz w:val="20"/>
          <w:szCs w:val="20"/>
          <w:color w:val="auto"/>
        </w:rPr>
      </w:pPr>
    </w:p>
    <w:p>
      <w:pPr>
        <w:ind w:left="80"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means any Fund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ind w:left="80" w:right="80" w:firstLine="67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xml:space="preserve"> means Wells Fargo Securities, LLC and Merrill Lynch, Pierce, Fenner &amp; Smith Incorporated in their capacities as joint lead arranger and joint bookrunner.</w:t>
      </w:r>
    </w:p>
    <w:p>
      <w:pPr>
        <w:spacing w:after="0" w:line="2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means the sale, transfer, license, lease or other disposition of any Property (including any disposition of owned Equity Interests) by any Credit Party or any Subsidiary thereof (or the granting of any option or other right to do any of the foregoing), and any issuance of Equity Interests by any Subsidiary of Holdings to any Person that is not a Credit Party or any Subsidiary thereof. The term “</w:t>
      </w: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shall not include (a) the sale of inventory in the ordinary course of business or obsolete assets, (b) the transfer of assets to the Borrower or any Subsidiary Guarantor pursuant to any other transaction permitted pursuant to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(c) the write-off, discount, sale or other disposition of defaulted or past-due receivables and similar obligations in the ordinary course of business and not undertaken as part of an accounts receivable financing transaction, (d) the disposition of any Hedge Agreement, (e) dispositions of Investments in cash and Cash Equivalents, (f) the transfer by any Credit Party of its assets to any other Credit Party or any Domestic Subsidiary, (g) the transfer by any Non- Guarantor Subsidiary of its assets to any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new transfer, such Credit Party shall not pay more than an amount equal to the fair market value of such assets as determined in good faith by such Credit Party at the time of such transfer) and (h) the transfer by any Non-Guarantor Subsidiary of its assets to any other Non-Guarantor Subsidiary.</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360" w:top="714" w:right="239" w:bottom="1440" w:gutter="0" w:footer="0" w:header="0"/>
        </w:sectPr>
      </w:pPr>
    </w:p>
    <w:bookmarkStart w:id="79" w:name="page80"/>
    <w:bookmarkEnd w:id="79"/>
    <w:p>
      <w:pPr>
        <w:jc w:val="both"/>
        <w:ind w:firstLine="67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accepted by the Administrative Agent, in substantially the form attached as </w:t>
      </w:r>
      <w:r>
        <w:rPr>
          <w:rFonts w:ascii="Arial" w:cs="Arial" w:eastAsia="Arial" w:hAnsi="Arial"/>
          <w:sz w:val="18"/>
          <w:szCs w:val="18"/>
          <w:b w:val="1"/>
          <w:bCs w:val="1"/>
          <w:i w:val="1"/>
          <w:iCs w:val="1"/>
          <w:color w:val="auto"/>
        </w:rPr>
        <w:t>Exhibit G</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Tax Benefit”</w:t>
      </w:r>
      <w:r>
        <w:rPr>
          <w:rFonts w:ascii="Arial" w:cs="Arial" w:eastAsia="Arial" w:hAnsi="Arial"/>
          <w:sz w:val="18"/>
          <w:szCs w:val="18"/>
          <w:color w:val="auto"/>
        </w:rPr>
        <w:t xml:space="preserve"> means, for each member of Holdings in any year, an amount equal to the result of multiplying (a) the aggregate of all items of taxable net loss or deduction allocated to such member for such year by (b) the Member Tax Rate.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Tax Liability</w:t>
      </w:r>
      <w:r>
        <w:rPr>
          <w:rFonts w:ascii="Arial" w:cs="Arial" w:eastAsia="Arial" w:hAnsi="Arial"/>
          <w:sz w:val="18"/>
          <w:szCs w:val="18"/>
          <w:color w:val="auto"/>
        </w:rPr>
        <w:t>” means, for each member of Holdings in any year, an amount equal to the result of multiplying (a) the aggregate of all items of taxable income or gain allocated to such member for such year by (b) the Member Tax Rate.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xml:space="preserve"> means, on any date of determination, (a) in respect of any Capital Lease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at any time, the highest of (a) the Prime Rate, (b)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and (c) LIBOR for an Interest Period of one month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each change in the Base Rate shall take effect simultaneously with the corresponding change or changes in the Prime Rate, the Federal Funds Rate or 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applicable during any period in which LIBOR is unavailable or unascertainable as described in Section 5.8).</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that bears interest based on the Base Rate.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means ABRH, LLC, a Delaware limited liability company.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p>
    <w:p>
      <w:pPr>
        <w:spacing w:after="0" w:line="2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for all purposes other than as set forth in clause (b) below, any day other than a Saturday, Sunday or legal holiday on which banks in Boston, Massachusetts and New York,</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are open for the conduct of their commercial banking business and (b) 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xml:space="preserve"> has the meaning assigned thereto in the definition of Applicable Margin.</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means, with respect to Holdings and its Subsidiaries on a Consolidated basis, for any period, (a) the additions to property, plant and equipment and other capital expenditures that are (or would be) set forth in a consolidated statement of cash flows of such Person for such period prepared in accordance with GAAP and (b) the incurrence of Capital Lease Obligations during such period, but excluding expenditures for the restoration, repair or replacement of any fixed or capital asset which was destroyed or damaged, in whole or in part, to the extent financed by the proceeds of an insurance policy maintained by such Person.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xml:space="preserve"> means, to deposit in a Controlled Account or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letters of credit from financial institutions reasonably acceptable to the Administrative Agent (and the applicable Issuing Lender or Swingline Lender), or, if the Administrative Agent and the applicable Issuing Lender and the Swingline Lender shall agree, in their sole discretion, other credit support, in each case pursuant to documentation in form and substance satisfactory to the</w:t>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60" w:top="584" w:right="239" w:bottom="1440" w:gutter="0" w:footer="0" w:header="0"/>
        </w:sectPr>
      </w:pPr>
    </w:p>
    <w:bookmarkStart w:id="80" w:name="page81"/>
    <w:bookmarkEnd w:id="80"/>
    <w:p>
      <w:pPr>
        <w:jc w:val="both"/>
        <w:ind w:left="4"/>
        <w:spacing w:after="0" w:line="277" w:lineRule="auto"/>
        <w:rPr>
          <w:sz w:val="20"/>
          <w:szCs w:val="20"/>
          <w:color w:val="auto"/>
        </w:rPr>
      </w:pPr>
      <w:r>
        <w:rPr>
          <w:rFonts w:ascii="Arial" w:cs="Arial" w:eastAsia="Arial" w:hAnsi="Arial"/>
          <w:sz w:val="18"/>
          <w:szCs w:val="18"/>
          <w:color w:val="auto"/>
        </w:rPr>
        <w:t>Administrative Agent, such Issuing Lender and the Swingline Lender, as applicable. “Cash Collateral” shall have a meaning correlative to the foregoing and shall include the proceeds of such cash collateral and other credit support.</w:t>
      </w:r>
    </w:p>
    <w:p>
      <w:pPr>
        <w:spacing w:after="0" w:line="170" w:lineRule="exact"/>
        <w:rPr>
          <w:sz w:val="20"/>
          <w:szCs w:val="20"/>
          <w:color w:val="auto"/>
        </w:rPr>
      </w:pPr>
    </w:p>
    <w:p>
      <w:pPr>
        <w:jc w:val="both"/>
        <w:ind w:left="4"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collectively, (a) marketable direct obligations issued or unconditionally guaranteed by the United States or any agency thereof maturing within one (1) year from the date of acquisition thereof, (b) commercial paper maturing no more than one (1) year from the date of creation thereof and currently having the highest rating obtainable from either S&amp;P or Moody’s,</w:t>
      </w:r>
    </w:p>
    <w:p>
      <w:pPr>
        <w:spacing w:after="0" w:line="3" w:lineRule="exact"/>
        <w:rPr>
          <w:sz w:val="20"/>
          <w:szCs w:val="20"/>
          <w:color w:val="auto"/>
        </w:rPr>
      </w:pPr>
    </w:p>
    <w:p>
      <w:pPr>
        <w:jc w:val="both"/>
        <w:ind w:left="4" w:hanging="4"/>
        <w:spacing w:after="0" w:line="323" w:lineRule="auto"/>
        <w:tabs>
          <w:tab w:leader="none" w:pos="7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certificates of deposit maturing no more than one (1) year from the date of creation thereof issued by commercial banks incorporated under the laws of the United States, each having combined capital, surplus and undivided profits of not less than $500,000,000 and having a rating of “A” or better by a nationally recognized rating agency, or (d) time deposits maturing no more than thirty (30) days from the date of creation thereof with commercial banks or savings banks or savings and loan associations each having either (i) combined capital, surplus and undivided profits of not less than $500,000,000 and having a rating of “A” or better by a nationally recognized rating agency or (ii) membership either in the FDIC or the deposits of which are insured by the FDIC and in amounts not exceeding the maximum amounts of insurance thereunder.</w:t>
      </w:r>
    </w:p>
    <w:p>
      <w:pPr>
        <w:spacing w:after="0" w:line="150"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xml:space="preserve"> means any agreement to provide cash management services, including treasury, depository, overdraft, credit or debit card (including non-card electronic payables), electronic funds transfer and other cash management arrangements.</w:t>
      </w:r>
    </w:p>
    <w:p>
      <w:pPr>
        <w:spacing w:after="0" w:line="22"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 at the time it enters into a Cash Management Agreement with a Credit Party, is a Lender, an Affiliate of a Lender, the Administrative Agent or an Affiliate of the Administrative Agent, or (b) at the time it (or its Affiliate) becomes a Lender (including on the Closing Date), is a party to a Cash Management Agreement with a Credit Party, in each case in its capacity as a party to such Cash Management Agreement.</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means an event or series of events by which:</w:t>
      </w:r>
    </w:p>
    <w:p>
      <w:pPr>
        <w:spacing w:after="0" w:line="252" w:lineRule="exact"/>
        <w:rPr>
          <w:sz w:val="20"/>
          <w:szCs w:val="20"/>
          <w:color w:val="auto"/>
        </w:rPr>
      </w:pPr>
    </w:p>
    <w:p>
      <w:pPr>
        <w:ind w:left="4" w:firstLine="644"/>
        <w:spacing w:after="0" w:line="324" w:lineRule="auto"/>
        <w:tabs>
          <w:tab w:leader="none" w:pos="13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any time, Holdings shall fail to own one hundred percent (100%) of the Equity Interests of the Borrower entitled to vote in the election of members of the board of directors (or equivalent governing body) of the Borrower; or</w:t>
      </w:r>
    </w:p>
    <w:p>
      <w:pPr>
        <w:spacing w:after="0" w:line="170" w:lineRule="exact"/>
        <w:rPr>
          <w:rFonts w:ascii="Arial" w:cs="Arial" w:eastAsia="Arial" w:hAnsi="Arial"/>
          <w:sz w:val="18"/>
          <w:szCs w:val="18"/>
          <w:color w:val="auto"/>
        </w:rPr>
      </w:pPr>
    </w:p>
    <w:p>
      <w:pPr>
        <w:jc w:val="both"/>
        <w:ind w:left="4" w:right="20" w:firstLine="644"/>
        <w:spacing w:after="0" w:line="311" w:lineRule="auto"/>
        <w:tabs>
          <w:tab w:leader="none" w:pos="14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an IPO, the Permitted Investors shall fail to collectively own the Equity Interests of Holdings representing 50.1%) of (i) the economic interest of Holdings and (ii) the voting power of Holdings entitled to vote in the election of members of the board of directors (or equivalent governing body) of Holdings; or</w:t>
      </w:r>
    </w:p>
    <w:p>
      <w:pPr>
        <w:spacing w:after="0" w:line="181" w:lineRule="exact"/>
        <w:rPr>
          <w:rFonts w:ascii="Arial" w:cs="Arial" w:eastAsia="Arial" w:hAnsi="Arial"/>
          <w:sz w:val="18"/>
          <w:szCs w:val="18"/>
          <w:color w:val="auto"/>
        </w:rPr>
      </w:pPr>
    </w:p>
    <w:p>
      <w:pPr>
        <w:jc w:val="both"/>
        <w:ind w:left="4" w:firstLine="644"/>
        <w:spacing w:after="0" w:line="302" w:lineRule="auto"/>
        <w:tabs>
          <w:tab w:leader="none" w:pos="13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after an IPO, (i) any “person” or “group” (as such terms are used in </w:t>
      </w:r>
      <w:r>
        <w:rPr>
          <w:rFonts w:ascii="Arial" w:cs="Arial" w:eastAsia="Arial" w:hAnsi="Arial"/>
          <w:sz w:val="18"/>
          <w:szCs w:val="18"/>
          <w:u w:val="single" w:color="auto"/>
          <w:color w:val="auto"/>
        </w:rPr>
        <w:t>Sections 13(d)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14(d)</w:t>
      </w:r>
      <w:r>
        <w:rPr>
          <w:rFonts w:ascii="Arial" w:cs="Arial" w:eastAsia="Arial" w:hAnsi="Arial"/>
          <w:sz w:val="18"/>
          <w:szCs w:val="18"/>
          <w:color w:val="auto"/>
        </w:rPr>
        <w:t xml:space="preserve"> of the Exchange Act, but excluding any employee benefit plan of such person or its Subsidiaries, and any person or entity acting in its capacity as trustee, agent or other fiduciary or administrator of any such plan) other than the Permitted Investors becomes the “beneficial owner” (as defined in Rules 13d-3 and 13d-5 under the Exchange Act), directly or indirectly, of more than thirty-five percent (35%) of the Equity Interests of the Borrower entitled to vote in the election of members of the board of directors (or equivalent governing body) of the Borrower or (ii) a majority of the members of the board of directors (or other equivalent governing body) of Holdings shall not constitute Continuing Directors.</w:t>
      </w:r>
    </w:p>
    <w:p>
      <w:pPr>
        <w:spacing w:after="0" w:line="166" w:lineRule="exact"/>
        <w:rPr>
          <w:sz w:val="20"/>
          <w:szCs w:val="20"/>
          <w:color w:val="auto"/>
        </w:rPr>
      </w:pPr>
    </w:p>
    <w:p>
      <w:pPr>
        <w:jc w:val="both"/>
        <w:ind w:left="4" w:firstLine="67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solely for the purposes of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any increased costs associated with a Change in Law based on the foregoing clauses (i) and (ii) may only be imposed to the extent the applicable Lender or Recipient is generally seeking such costs from other similarly situated borrowers that are similarly affected by the circumstances giving rise to such costs under credit facilities that such Lender or Recipient reasonably deems to afford such Lender or Recipient the legal right to impose such costs, but no such Lender or Recipient shall be required to disclose any proprietary or confidential information in exercising its rights under </w:t>
      </w:r>
      <w:r>
        <w:rPr>
          <w:rFonts w:ascii="Arial" w:cs="Arial" w:eastAsia="Arial" w:hAnsi="Arial"/>
          <w:sz w:val="17"/>
          <w:szCs w:val="17"/>
          <w:u w:val="single" w:color="auto"/>
          <w:color w:val="auto"/>
        </w:rPr>
        <w:t>Section 5.10</w:t>
      </w:r>
      <w:r>
        <w:rPr>
          <w:rFonts w:ascii="Arial" w:cs="Arial" w:eastAsia="Arial" w:hAnsi="Arial"/>
          <w:sz w:val="17"/>
          <w:szCs w:val="17"/>
          <w:color w:val="auto"/>
        </w:rPr>
        <w:t>.</w:t>
      </w:r>
    </w:p>
    <w:p>
      <w:pPr>
        <w:spacing w:after="0" w:line="234" w:lineRule="exact"/>
        <w:rPr>
          <w:sz w:val="20"/>
          <w:szCs w:val="20"/>
          <w:color w:val="auto"/>
        </w:rPr>
      </w:pPr>
    </w:p>
    <w:p>
      <w:pPr>
        <w:jc w:val="both"/>
        <w:ind w:left="4" w:firstLine="67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when used in reference to any Loan, whether such Loan is a Revolving Credit Loan, Swingline Loan or Term Loan and, when used in reference to any Commitment, whether such Commitment is a Revolving Credit Commitment or a Term Loan Commitment.</w:t>
      </w:r>
    </w:p>
    <w:p>
      <w:pPr>
        <w:spacing w:after="0" w:line="19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4"/>
          </w:cols>
          <w:pgMar w:left="356" w:top="584" w:right="239" w:bottom="1440" w:gutter="0" w:footer="0" w:header="0"/>
        </w:sectPr>
      </w:pPr>
    </w:p>
    <w:bookmarkStart w:id="81" w:name="page82"/>
    <w:bookmarkEnd w:id="81"/>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of this Agreement.</w:t>
      </w:r>
    </w:p>
    <w:p>
      <w:pPr>
        <w:spacing w:after="0" w:line="77" w:lineRule="exact"/>
        <w:rPr>
          <w:sz w:val="20"/>
          <w:szCs w:val="20"/>
          <w:color w:val="auto"/>
        </w:rPr>
      </w:pPr>
    </w:p>
    <w:p>
      <w:pPr>
        <w:ind w:left="6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Internal Revenue Code of 1986, and the rules and regulations promulgated thereunder.</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the collateral security for the Secured Obligations pledged or granted pursuant to the Security Documents.</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xml:space="preserve"> means the Guaranty and Security Agreement of even date herewith executed by the Credit Parties in favor of the Administrative Agent, for the ratable benefit of the Secured Parties.</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5.3(a).</w:t>
      </w:r>
    </w:p>
    <w:p>
      <w:pPr>
        <w:spacing w:after="0" w:line="279" w:lineRule="exact"/>
        <w:rPr>
          <w:sz w:val="20"/>
          <w:szCs w:val="20"/>
          <w:color w:val="auto"/>
        </w:rPr>
      </w:pPr>
    </w:p>
    <w:p>
      <w:pPr>
        <w:ind w:left="4"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means, as to any Lender, such Lender’s Revolving Credit Commitment Percentage or Term Loan Percentage, as applicable.</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Commitments”</w:t>
      </w:r>
      <w:r>
        <w:rPr>
          <w:rFonts w:ascii="Arial" w:cs="Arial" w:eastAsia="Arial" w:hAnsi="Arial"/>
          <w:sz w:val="17"/>
          <w:szCs w:val="17"/>
          <w:color w:val="auto"/>
        </w:rPr>
        <w:t xml:space="preserve"> means, collectively, as to all Lenders, the Revolving Credit Commitments and the Term Loan Commitments of such Lenders.</w:t>
      </w:r>
    </w:p>
    <w:p>
      <w:pPr>
        <w:spacing w:after="0" w:line="25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et seq.).</w:t>
      </w:r>
    </w:p>
    <w:p>
      <w:pPr>
        <w:spacing w:after="0" w:line="279"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means (a) any full service restaurant company having annual sales of $100,000,000 or more and operating in the same territory as the Borrower and its Subsidiaries or (b) any Person owning more than 15% of the issued and outstanding Equity Interests of any such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any Person that is an investment bank, commercial bank, finance company, fund or other commercial lender shall not be deemed to be a Competitor.</w:t>
      </w:r>
    </w:p>
    <w:p>
      <w:pPr>
        <w:spacing w:after="0" w:line="187"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xml:space="preserve">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xml:space="preserve"> means, when used with reference to financial statements or financial statement items of any Person, such statements or items on a consolidated basis in accordance with applicable principles of consolidation under GAAP.</w:t>
      </w:r>
    </w:p>
    <w:p>
      <w:pPr>
        <w:spacing w:after="0" w:line="170"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Assets”</w:t>
      </w:r>
      <w:r>
        <w:rPr>
          <w:rFonts w:ascii="Arial" w:cs="Arial" w:eastAsia="Arial" w:hAnsi="Arial"/>
          <w:sz w:val="18"/>
          <w:szCs w:val="18"/>
          <w:color w:val="auto"/>
        </w:rPr>
        <w:t xml:space="preserve"> shall mean, as of any date of determination, the Consolidated assets of Holdings and its Subsidiaries at such date, as determined in accordance with GAAP.</w:t>
      </w:r>
    </w:p>
    <w:p>
      <w:pPr>
        <w:spacing w:after="0" w:line="170" w:lineRule="exact"/>
        <w:rPr>
          <w:sz w:val="20"/>
          <w:szCs w:val="20"/>
          <w:color w:val="auto"/>
        </w:rPr>
      </w:pPr>
    </w:p>
    <w:p>
      <w:pPr>
        <w:jc w:val="both"/>
        <w:ind w:left="4"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sum of the following determined on a Consolidated basis, without duplication, for Holdings and its Subsidiaries in accordance with GAAP:</w:t>
      </w:r>
    </w:p>
    <w:p>
      <w:pPr>
        <w:spacing w:after="0" w:line="1" w:lineRule="exact"/>
        <w:rPr>
          <w:sz w:val="20"/>
          <w:szCs w:val="20"/>
          <w:color w:val="auto"/>
        </w:rPr>
      </w:pPr>
    </w:p>
    <w:p>
      <w:pPr>
        <w:ind w:left="4" w:hanging="4"/>
        <w:spacing w:after="0" w:line="257" w:lineRule="auto"/>
        <w:tabs>
          <w:tab w:leader="none" w:pos="2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sum of the following, without duplication, to the extent deducted in determining Consolidated Net Income for such period: (i) income and franchise taxes,</w:t>
      </w:r>
    </w:p>
    <w:p>
      <w:pPr>
        <w:spacing w:after="0" w:line="2" w:lineRule="exact"/>
        <w:rPr>
          <w:sz w:val="20"/>
          <w:szCs w:val="20"/>
          <w:color w:val="auto"/>
        </w:rPr>
      </w:pPr>
    </w:p>
    <w:p>
      <w:pPr>
        <w:jc w:val="both"/>
        <w:ind w:left="4" w:hanging="4"/>
        <w:spacing w:after="0" w:line="344" w:lineRule="auto"/>
        <w:tabs>
          <w:tab w:leader="none" w:pos="7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Consolidated Interest Expense, (iii) amortization and depreciation, (iv) any extraordinary, unusual, non-recurring or non-cash charges (except for non-cash charges that are reserved for cash charges to be taken in the future), including losses from discontinued operations, (v) severance amounts paid or accrued (to the extent not added back in a prior period) and charges incurred during such period in connection with the redemption or repurchase of options or shares of former employees of Holdings and its Subsidiaries in an aggregate amount not to exceed $2,000,000 during any four (4) consecutive fiscal quarter period, (vi) Transaction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Transaction Costs related to Permitted Acquisitions added back under this clause (vi) shall not exceed $3,000,000 (unless otherwise agreed to by the Administrative Agent in its reasonable discretion) for similar acquisitions during any four (4) consecutive fiscal quarter period (which amount shall not include the O’Charley’s Bonus</w:t>
      </w:r>
    </w:p>
    <w:p>
      <w:pPr>
        <w:spacing w:after="0" w:line="207"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 xml:space="preserve">Payment), (vii) Permitted Management Fees paid or accrued during such period (to the extent not added back in a prior period), (viii) the amount by which Rental Expense paid or accrued (to the extent not added back in a prior period) under GAAP during such period exceeds actual cash Rental Expense during such period, (ix) any losses on sales of property, plants and equipment, and (x) Pre-Opening Costs for such period in an aggregate amount not to exceed $300,000 per unit,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 the sum of the following, without duplication, to the extent included in determining Consolidated Net Income for such period: (i) interest income, (ii) any extraordinary gains (including income from discontinued operations), (iii) non- cash gains or non-cash items increasing Consolidated Net Income, (iv) the amount by which cash Rental Expense exceeds the Rental Expense paid or accrued (to the extent not added back in a prior period) under GAAP, and (v) any gains on sales of property, plant and equipment. For purposes of this Agreement, Consolidated EBITDA shall be adjusted on a Pro Forma Basis.</w:t>
      </w:r>
    </w:p>
    <w:p>
      <w:pPr>
        <w:spacing w:after="0" w:line="21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4"/>
          </w:cols>
          <w:pgMar w:left="356" w:top="814" w:right="239" w:bottom="1440" w:gutter="0" w:footer="0" w:header="0"/>
        </w:sectPr>
      </w:pPr>
    </w:p>
    <w:bookmarkStart w:id="82" w:name="page83"/>
    <w:bookmarkEnd w:id="82"/>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EBITDAR</w:t>
      </w:r>
      <w:r>
        <w:rPr>
          <w:rFonts w:ascii="Arial" w:cs="Arial" w:eastAsia="Arial" w:hAnsi="Arial"/>
          <w:sz w:val="18"/>
          <w:szCs w:val="18"/>
          <w:color w:val="auto"/>
        </w:rPr>
        <w:t>” means, for any period, in each case determined on a Consolidated basis, without duplication, for Holdings and its Subsidiaries in accordance with GAAP, the sum of (a) Consolidated EBITDA for such period plus (b) Rental Expense paid or accrued (to the extent not added back in a prior period) in cash for such period.</w:t>
      </w:r>
    </w:p>
    <w:p>
      <w:pPr>
        <w:spacing w:after="0" w:line="19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means, as of any date of determination, the ratio of</w:t>
      </w:r>
    </w:p>
    <w:p>
      <w:pPr>
        <w:spacing w:after="0" w:line="23" w:lineRule="exact"/>
        <w:rPr>
          <w:sz w:val="20"/>
          <w:szCs w:val="20"/>
          <w:color w:val="auto"/>
        </w:rPr>
      </w:pPr>
    </w:p>
    <w:p>
      <w:pPr>
        <w:jc w:val="both"/>
        <w:ind w:left="4" w:hanging="4"/>
        <w:spacing w:after="0" w:line="273" w:lineRule="auto"/>
        <w:tabs>
          <w:tab w:leader="none" w:pos="2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(i) Consolidated EBITDAR for the period of four (4) consecutive fiscal quarters ending on or immediately prior to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Maintenance Capital Expenditures for the period of four (4) consecutive fiscal quarters ending on or immediately prior to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cash taxes and any Tax Distributions paid in cash for the period of four (4) consecutive fiscal quarters ending on or immediately prior to such date to the extent permitted hereunder to (b) Consolidated Fixed Charges for the period of four (4) consecutive fiscal quarters ending on or immediately prior to such date.</w:t>
      </w:r>
    </w:p>
    <w:p>
      <w:pPr>
        <w:spacing w:after="0" w:line="177"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Charges”</w:t>
      </w:r>
      <w:r>
        <w:rPr>
          <w:rFonts w:ascii="Arial" w:cs="Arial" w:eastAsia="Arial" w:hAnsi="Arial"/>
          <w:sz w:val="18"/>
          <w:szCs w:val="18"/>
          <w:color w:val="auto"/>
        </w:rPr>
        <w:t xml:space="preserve"> means, for any period, the sum of the following determined on a Consolidated basis for such period, without duplication, for Holdings and its Subsidiaries in accordance with GAAP: (a) Consolidated Interest Expense paid in cash, (b) scheduled principal payments with respect to Indebtedness, and (c) Rental Expense paid in cash.</w:t>
      </w:r>
    </w:p>
    <w:p>
      <w:pPr>
        <w:spacing w:after="0" w:line="195"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xml:space="preserve"> means, for any period, the sum of the following determined on a Consolidated basis, without duplication, for Holdings and its Subsidiaries in accordance with GAAP, interest expense (including, without limitation, interest expense attributable to Capital Lease Obligations and all net payment obligations pursuant to Hedge Agreements) for such period.</w:t>
      </w:r>
    </w:p>
    <w:p>
      <w:pPr>
        <w:spacing w:after="0" w:line="195"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for any period, the net income (or loss) of Holdings and its Subsidiaries for such period, determined on a Consolidated basis, without duplication,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Consolidated Net Income of Holdings and its Subsidiaries for any period, there shall be excluded (a) the net income (or loss) of any Person (other than a Subsidiary which shall be subject to clause (c) below), in which Holdings or any of its Subsidiaries has a joint interest with a third party, except to the extent such net income is actually paid in cash to Holdings or any of its Subsidiaries by dividend or other distribution during such period, (b) the net income (or loss) of any Person accrued prior to the date it becomes a Subsidiary of Holdings or any of its Subsidiaries or is merged into or consolidated with Holdings or any of its Subsidiaries or that Person’s assets are acquired by Holdings or any of its Subsidiaries except to the extent included pursuant to the foregoing clause (a), and (c) the net income (if positive), of any Subsidiary to the extent that the declaration or payment of dividends or similar distributions by such Subsidiary to Holdings or any of its Subsidiaries of such net income (i) is not at the time permitted by operation of the terms of its charter or any agreement, instrument, judgment, decree, order, statute, rule or governmental regulation applicable to such</w:t>
      </w:r>
    </w:p>
    <w:p>
      <w:pPr>
        <w:spacing w:after="0" w:line="29" w:lineRule="exact"/>
        <w:rPr>
          <w:sz w:val="20"/>
          <w:szCs w:val="20"/>
          <w:color w:val="auto"/>
        </w:rPr>
      </w:pPr>
    </w:p>
    <w:p>
      <w:pPr>
        <w:ind w:left="4"/>
        <w:spacing w:after="0"/>
        <w:rPr>
          <w:sz w:val="20"/>
          <w:szCs w:val="20"/>
          <w:color w:val="auto"/>
        </w:rPr>
      </w:pPr>
      <w:r>
        <w:rPr>
          <w:rFonts w:ascii="Arial" w:cs="Arial" w:eastAsia="Arial" w:hAnsi="Arial"/>
          <w:sz w:val="16"/>
          <w:szCs w:val="16"/>
          <w:color w:val="auto"/>
        </w:rPr>
        <w:t>Subsidiary or (ii) would be subject to any taxes payable on such dividends or distributions, but in each case only to the extent of such prohibition or taxes.</w:t>
      </w:r>
    </w:p>
    <w:p>
      <w:pPr>
        <w:spacing w:after="0" w:line="262"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xml:space="preserve"> means, as of any date of determination with respect to Holdings and its Subsidiaries on a Consolidated basis without duplication, the sum of all Indebtedness (excluding standby Letters of Credit issued for the purpose of obtaining insurance) of Holdings and its Subsidiaries.</w:t>
      </w:r>
    </w:p>
    <w:p>
      <w:pPr>
        <w:spacing w:after="0" w:line="195"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xml:space="preserve"> means the directors of Holdings on the Closing Date and each other director of Holdings, if, in each case, such other director’s nomination for election to the board of directors (or equivalent governing body) of Holdings is recommended by at least 51% of the then Continuing Directors.</w:t>
      </w:r>
    </w:p>
    <w:p>
      <w:pPr>
        <w:spacing w:after="0" w:line="181" w:lineRule="exact"/>
        <w:rPr>
          <w:sz w:val="20"/>
          <w:szCs w:val="20"/>
          <w:color w:val="auto"/>
        </w:rPr>
      </w:pPr>
    </w:p>
    <w:p>
      <w:pPr>
        <w:jc w:val="both"/>
        <w:ind w:left="4"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xml:space="preserve">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Controlled”</w:t>
      </w:r>
      <w:r>
        <w:rPr>
          <w:rFonts w:ascii="Arial" w:cs="Arial" w:eastAsia="Arial" w:hAnsi="Arial"/>
          <w:sz w:val="17"/>
          <w:szCs w:val="17"/>
          <w:color w:val="auto"/>
        </w:rPr>
        <w:t xml:space="preserve"> have meanings correlative thereto.</w:t>
      </w:r>
    </w:p>
    <w:p>
      <w:pPr>
        <w:spacing w:after="0" w:line="201"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xml:space="preserve"> means each deposit account and securities account that is subject to an account control agreement in form and substance reasonably satisfactory to the Administrative Agent at the time such control agreement is executed.</w:t>
      </w:r>
    </w:p>
    <w:p>
      <w:pPr>
        <w:spacing w:after="0" w:line="184" w:lineRule="exact"/>
        <w:rPr>
          <w:sz w:val="20"/>
          <w:szCs w:val="20"/>
          <w:color w:val="auto"/>
        </w:rPr>
      </w:pPr>
    </w:p>
    <w:p>
      <w:pPr>
        <w:ind w:left="6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collectively, the Revolving Credit Facility, the Term Loan Facility, the Swingline Facility and the L/C Facility.</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xml:space="preserve"> means, collectively, the Borrower and the Guarantors.</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w:t>
      </w:r>
      <w:r>
        <w:rPr>
          <w:rFonts w:ascii="Arial" w:cs="Arial" w:eastAsia="Arial" w:hAnsi="Arial"/>
          <w:sz w:val="18"/>
          <w:szCs w:val="18"/>
          <w:color w:val="auto"/>
        </w:rPr>
        <w:t xml:space="preserve"> means the issuance of any Indebtedness for borrowed money by any Credit Party or any of its</w:t>
      </w:r>
    </w:p>
    <w:p>
      <w:pPr>
        <w:spacing w:after="0" w:line="25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4"/>
          </w:cols>
          <w:pgMar w:left="356" w:top="800" w:right="239" w:bottom="1440" w:gutter="0" w:footer="0" w:header="0"/>
        </w:sectPr>
      </w:pPr>
    </w:p>
    <w:bookmarkStart w:id="83" w:name="page84"/>
    <w:bookmarkEnd w:id="83"/>
    <w:p>
      <w:pPr>
        <w:ind w:left="4"/>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jc w:val="both"/>
        <w:ind w:left="4" w:firstLine="67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which with the passage of time, the giving of notice or any other condition, would constitute an Event of Default.</w:t>
      </w:r>
    </w:p>
    <w:p>
      <w:pPr>
        <w:spacing w:after="0" w:line="184"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5.15(b),</w:t>
      </w:r>
      <w:r>
        <w:rPr>
          <w:rFonts w:ascii="Arial" w:cs="Arial" w:eastAsia="Arial" w:hAnsi="Arial"/>
          <w:sz w:val="17"/>
          <w:szCs w:val="17"/>
          <w:color w:val="auto"/>
        </w:rPr>
        <w:t xml:space="preserve"> any Lender that (a) has failed to (i) fund all or any portion of the Revolving Credit Loans, the Term Loan, participations in L/C Obligations or participations in Swingline Loans required to be funded by it hereunder within two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Business Days of the date when due, (b) has notified the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w:t>
      </w:r>
    </w:p>
    <w:p>
      <w:pPr>
        <w:spacing w:after="0" w:line="245" w:lineRule="exact"/>
        <w:rPr>
          <w:sz w:val="20"/>
          <w:szCs w:val="20"/>
          <w:color w:val="auto"/>
        </w:rPr>
      </w:pPr>
    </w:p>
    <w:p>
      <w:pPr>
        <w:jc w:val="both"/>
        <w:ind w:left="4"/>
        <w:spacing w:after="0" w:line="266" w:lineRule="auto"/>
        <w:rPr>
          <w:sz w:val="20"/>
          <w:szCs w:val="20"/>
          <w:color w:val="auto"/>
        </w:rPr>
      </w:pPr>
      <w:r>
        <w:rPr>
          <w:rFonts w:ascii="Arial" w:cs="Arial" w:eastAsia="Arial" w:hAnsi="Arial"/>
          <w:sz w:val="17"/>
          <w:szCs w:val="17"/>
          <w:color w:val="auto"/>
        </w:rPr>
        <w:t>(which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w:t>
      </w:r>
    </w:p>
    <w:p>
      <w:pPr>
        <w:spacing w:after="0" w:line="8" w:lineRule="exact"/>
        <w:rPr>
          <w:sz w:val="20"/>
          <w:szCs w:val="20"/>
          <w:color w:val="auto"/>
        </w:rPr>
      </w:pPr>
    </w:p>
    <w:p>
      <w:pPr>
        <w:ind w:left="4" w:hanging="4"/>
        <w:spacing w:after="0" w:line="290" w:lineRule="auto"/>
        <w:tabs>
          <w:tab w:leader="none" w:pos="274"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above shall be conclusive and binding absent manifest error, and such Lender shall be deemed to be a Defaulting Lender (subject to </w:t>
      </w:r>
      <w:r>
        <w:rPr>
          <w:rFonts w:ascii="Arial" w:cs="Arial" w:eastAsia="Arial" w:hAnsi="Arial"/>
          <w:sz w:val="17"/>
          <w:szCs w:val="17"/>
          <w:u w:val="single" w:color="auto"/>
          <w:color w:val="auto"/>
        </w:rPr>
        <w:t>Section 5.15(b))</w:t>
      </w:r>
      <w:r>
        <w:rPr>
          <w:rFonts w:ascii="Arial" w:cs="Arial" w:eastAsia="Arial" w:hAnsi="Arial"/>
          <w:sz w:val="17"/>
          <w:szCs w:val="17"/>
          <w:color w:val="auto"/>
        </w:rPr>
        <w:t xml:space="preserve"> upon delivery of written notice of such determination to the Borrower, each Issuing Lender, the Swingline Lender and each Lender.</w:t>
      </w:r>
    </w:p>
    <w:p>
      <w:pPr>
        <w:spacing w:after="0" w:line="17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Letter”</w:t>
      </w:r>
      <w:r>
        <w:rPr>
          <w:rFonts w:ascii="Arial" w:cs="Arial" w:eastAsia="Arial" w:hAnsi="Arial"/>
          <w:sz w:val="16"/>
          <w:szCs w:val="16"/>
          <w:color w:val="auto"/>
        </w:rPr>
        <w:t xml:space="preserve"> shall mean that certain side letter dated as of the date hereof between the Borrower and the Administrative Agent, for the benefit of the Lenders, pursuant to which the Borrower has attached (a)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thereto, the jurisdictions in which each Credit Party and each Subsidiary thereof are organized as of the Closing Date, (b) as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thereto, the subsidiary and capitalization information for each Credit Party (other than the capitalization information for Holdings) as of the Closing Date, (c) as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thereto, any ongoing audit or examination or, to the knowledge of any Responsible Officer, other investigation by any Governmental Authority of the tax liability of any Credit Party or any Subsidiary thereof, (d) as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thereto, the ERISA plans of the Credit Parties and their Subsidiaries as of the Closing Date, (e) as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thereto, the Material Contracts of the Credit Parties and their Subsidiaries existing as of the Closing Date, (f) as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thereto, the labor and collective bargaining agreements of the Credit Parties and their Subsidiaries existing as of the Closing Date, (g) as </w:t>
      </w:r>
      <w:r>
        <w:rPr>
          <w:rFonts w:ascii="Arial" w:cs="Arial" w:eastAsia="Arial" w:hAnsi="Arial"/>
          <w:sz w:val="16"/>
          <w:szCs w:val="16"/>
          <w:u w:val="single" w:color="auto"/>
          <w:color w:val="auto"/>
        </w:rPr>
        <w:t>Schedule 7</w:t>
      </w:r>
      <w:r>
        <w:rPr>
          <w:rFonts w:ascii="Arial" w:cs="Arial" w:eastAsia="Arial" w:hAnsi="Arial"/>
          <w:sz w:val="16"/>
          <w:szCs w:val="16"/>
          <w:color w:val="auto"/>
        </w:rPr>
        <w:t xml:space="preserve"> thereto, all real property owned by the Credit Parties and their Subsidiaries existing as of the Closing Date, (h) as </w:t>
      </w:r>
      <w:r>
        <w:rPr>
          <w:rFonts w:ascii="Arial" w:cs="Arial" w:eastAsia="Arial" w:hAnsi="Arial"/>
          <w:sz w:val="16"/>
          <w:szCs w:val="16"/>
          <w:u w:val="single" w:color="auto"/>
          <w:color w:val="auto"/>
        </w:rPr>
        <w:t>Schedule 8</w:t>
      </w:r>
      <w:r>
        <w:rPr>
          <w:rFonts w:ascii="Arial" w:cs="Arial" w:eastAsia="Arial" w:hAnsi="Arial"/>
          <w:sz w:val="16"/>
          <w:szCs w:val="16"/>
          <w:color w:val="auto"/>
        </w:rPr>
        <w:t xml:space="preserve"> thereto, the material litigation of the Credit Parties and their Subsidiaries existing as of the Closing Date, (i) as </w:t>
      </w:r>
      <w:r>
        <w:rPr>
          <w:rFonts w:ascii="Arial" w:cs="Arial" w:eastAsia="Arial" w:hAnsi="Arial"/>
          <w:sz w:val="16"/>
          <w:szCs w:val="16"/>
          <w:u w:val="single" w:color="auto"/>
          <w:color w:val="auto"/>
        </w:rPr>
        <w:t>Schedule 9</w:t>
      </w:r>
      <w:r>
        <w:rPr>
          <w:rFonts w:ascii="Arial" w:cs="Arial" w:eastAsia="Arial" w:hAnsi="Arial"/>
          <w:sz w:val="16"/>
          <w:szCs w:val="16"/>
          <w:color w:val="auto"/>
        </w:rPr>
        <w:t xml:space="preserve"> thereto, the Indebtedness of the Credit Parties and their Subsidiaries existing as of the Closing Date, (j) as </w:t>
      </w:r>
      <w:r>
        <w:rPr>
          <w:rFonts w:ascii="Arial" w:cs="Arial" w:eastAsia="Arial" w:hAnsi="Arial"/>
          <w:sz w:val="16"/>
          <w:szCs w:val="16"/>
          <w:u w:val="single" w:color="auto"/>
          <w:color w:val="auto"/>
        </w:rPr>
        <w:t>Schedule 10</w:t>
      </w:r>
      <w:r>
        <w:rPr>
          <w:rFonts w:ascii="Arial" w:cs="Arial" w:eastAsia="Arial" w:hAnsi="Arial"/>
          <w:sz w:val="16"/>
          <w:szCs w:val="16"/>
          <w:color w:val="auto"/>
        </w:rPr>
        <w:t xml:space="preserve"> thereto, the Liens of the Credit Parties and their Subsidiaries existing as of the Closing Date, (k) as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thereto, the loans, advances and Investments of the Credit Parties and their Subsidiaries existing as of the Closing Date, (l) as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thereto, transactions with Affiliates of the Credit Parties and their Subsidiaries existing as of the Closing Date, and (m) as </w:t>
      </w:r>
      <w:r>
        <w:rPr>
          <w:rFonts w:ascii="Arial" w:cs="Arial" w:eastAsia="Arial" w:hAnsi="Arial"/>
          <w:sz w:val="16"/>
          <w:szCs w:val="16"/>
          <w:u w:val="single" w:color="auto"/>
          <w:color w:val="auto"/>
        </w:rPr>
        <w:t>Schedule 13,</w:t>
      </w:r>
      <w:r>
        <w:rPr>
          <w:rFonts w:ascii="Arial" w:cs="Arial" w:eastAsia="Arial" w:hAnsi="Arial"/>
          <w:sz w:val="16"/>
          <w:szCs w:val="16"/>
          <w:color w:val="auto"/>
        </w:rPr>
        <w:t xml:space="preserve"> a description of the Profits Interest Program.</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Interests”</w:t>
      </w:r>
      <w:r>
        <w:rPr>
          <w:rFonts w:ascii="Arial" w:cs="Arial" w:eastAsia="Arial" w:hAnsi="Arial"/>
          <w:sz w:val="18"/>
          <w:szCs w:val="18"/>
          <w:color w:val="auto"/>
        </w:rPr>
        <w:t xml:space="preserve"> means any Equity Interests that, by their terms (or by the terms of any security or other</w:t>
      </w:r>
    </w:p>
    <w:p>
      <w:pPr>
        <w:spacing w:after="0" w:line="25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4"/>
          </w:cols>
          <w:pgMar w:left="356" w:top="638" w:right="2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(i) subject to the prior repayment in full of the Loans and all other Obligations that are accrued and payable and the termination of the Commitments or (ii) otherwise consented to by the Required Lenders), (b) are redeemable at the option of the holder thereof (other than solely for Qualified Equity Interests) (except as a result of a change of control or asset sale so</w:t>
      </w:r>
    </w:p>
    <w:p>
      <w:pPr>
        <w:spacing w:after="0" w:line="2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long as any rights of the holders thereof upon the occurrence of a change of control or asset sale event shall be (i) subject to the prior repayment in full of the Loans and all other Obligations that are accrued and payable and the termination of the Commitments or (ii) otherwise consented to by the Required Lenders), in whole or in part, (c) provide for the scheduled payment of dividends in cash or (d) are or become convertible into or exchangeable for Indebtedness or any other Equity Interests that would constitute Disqualified Equity Interests, in each case, prior to the date that is 91 days after the Term Loan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Equity Interests is issued pursuant to a plan for the benefit of Holdings or its Subsidiaries or by any such plan to such employees, such Equity Interests shall not constitute Disqualified Equity Interests solely because they may be required to be repurchased by Holdings or its Subsidiaries in order to satisfy applicable statutory or regulatory obligations.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unless otherwise qualified, dollars in lawful currency of the United States.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organized under the laws of any political subdivision of the United States.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12.9(b)(iii),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xml:space="preserve">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public health or the environment.</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means any and all federal, foreign, state, provincial and local laws, statutes, ordinances, codes, rules, standards and regulations, permits, licenses, approvals, interpretations and orders of courts or Governmental Authorities, relating to the protection of public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Issuance”</w:t>
      </w:r>
      <w:r>
        <w:rPr>
          <w:rFonts w:ascii="Arial" w:cs="Arial" w:eastAsia="Arial" w:hAnsi="Arial"/>
          <w:sz w:val="18"/>
          <w:szCs w:val="18"/>
          <w:color w:val="auto"/>
        </w:rPr>
        <w:t xml:space="preserve"> means (a) any issuance by Holdings of shares of its Equity Interests to any Person that is not a Credit Party (including, without limitation, in connection with the exercise of options or warrants or the conversion of any debt securities to equity) and (b) any capital contribution from any Person that is not a Credit Party into any Credit Party or any Subsidiary thereof. The term “Equity Issuance” shall not include (A) any Asset Disposition or (B) any Debt Issuance.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means the Employee Retirement Income Security Act of 1974, and the rules and regulations thereunder.</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360" w:top="638" w:right="239" w:bottom="1440" w:gutter="0" w:footer="0" w:header="0"/>
        </w:sectPr>
      </w:pPr>
    </w:p>
    <w:bookmarkStart w:id="85" w:name="page86"/>
    <w:bookmarkEnd w:id="85"/>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any Person who together with any Credit Party or any of its Subsidiaries is treated as a single employer within the meaning of Section 414(b), (c), (m) or (o) of the Code or Section 4001(b) of ERISA.</w:t>
      </w:r>
    </w:p>
    <w:p>
      <w:pPr>
        <w:spacing w:after="0" w:line="170"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xml:space="preserve"> means, for any day, the percentage which is in effect for such day as prescribed by the Board of Governors of the Federal Reserve System (or any successor)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8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 provided</w:t>
      </w:r>
      <w:r>
        <w:rPr>
          <w:rFonts w:ascii="Arial" w:cs="Arial" w:eastAsia="Arial" w:hAnsi="Arial"/>
          <w:sz w:val="18"/>
          <w:szCs w:val="18"/>
          <w:color w:val="auto"/>
        </w:rPr>
        <w:t xml:space="preserve"> that any requirement for passage of time, giving of notice, or any other condition, has been satisfied.</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xml:space="preserve"> means, for Holdings and its Subsidiaries on a Consolidated basis, in accordance with GAAP for any Fiscal Year:</w:t>
      </w:r>
    </w:p>
    <w:p>
      <w:pPr>
        <w:spacing w:after="0" w:line="266" w:lineRule="exact"/>
        <w:rPr>
          <w:sz w:val="20"/>
          <w:szCs w:val="20"/>
          <w:color w:val="auto"/>
        </w:rPr>
      </w:pPr>
    </w:p>
    <w:p>
      <w:pPr>
        <w:ind w:left="1384" w:hanging="736"/>
        <w:spacing w:after="0"/>
        <w:tabs>
          <w:tab w:leader="none" w:pos="13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sum, without duplication, of (i) Consolidated Net Income for such Fiscal Year, and</w:t>
      </w:r>
    </w:p>
    <w:p>
      <w:pPr>
        <w:spacing w:after="0" w:line="23" w:lineRule="exact"/>
        <w:rPr>
          <w:rFonts w:ascii="Arial" w:cs="Arial" w:eastAsia="Arial" w:hAnsi="Arial"/>
          <w:sz w:val="18"/>
          <w:szCs w:val="18"/>
          <w:color w:val="auto"/>
        </w:rPr>
      </w:pPr>
    </w:p>
    <w:p>
      <w:pPr>
        <w:ind w:left="264" w:hanging="264"/>
        <w:spacing w:after="0"/>
        <w:tabs>
          <w:tab w:leader="none" w:pos="2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an amount equal to the amount of all non-cash charges to the extent deducted in determining Consolidated Net Income for such Fiscal Year, </w:t>
      </w:r>
      <w:r>
        <w:rPr>
          <w:rFonts w:ascii="Arial" w:cs="Arial" w:eastAsia="Arial" w:hAnsi="Arial"/>
          <w:sz w:val="16"/>
          <w:szCs w:val="16"/>
          <w:u w:val="single" w:color="auto"/>
          <w:color w:val="auto"/>
        </w:rPr>
        <w:t>minus</w:t>
      </w:r>
    </w:p>
    <w:p>
      <w:pPr>
        <w:spacing w:after="0" w:line="274" w:lineRule="exact"/>
        <w:rPr>
          <w:rFonts w:ascii="Arial" w:cs="Arial" w:eastAsia="Arial" w:hAnsi="Arial"/>
          <w:sz w:val="16"/>
          <w:szCs w:val="16"/>
          <w:color w:val="auto"/>
        </w:rPr>
      </w:pPr>
    </w:p>
    <w:p>
      <w:pPr>
        <w:jc w:val="both"/>
        <w:ind w:left="4" w:firstLine="644"/>
        <w:spacing w:after="0" w:line="318" w:lineRule="auto"/>
        <w:tabs>
          <w:tab w:leader="none" w:pos="1402"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sum, without duplication, of (i) the aggregate amount of (A) Capital Expenditures and cash actually paid by Holdings and its Subsidiaries during such Fiscal Year on account of Permitted Acquisitions (other than any amounts that were committed during a prior Fiscal Year to the extent such amounts reduced Excess Cash Flow in such prior Fiscal Year per clause (b)(i)(B) below) and (B) if elected by the Borrower to be included in the calculation of Excess Cash Flow prior to the actual cash expenditure thereof, the amount committed during such Fiscal Year to be used to make Capital Expenditures or Permitted Acquisitions which in either case have been actually made or consummated or for which a binding agreement exists as of the time of determination of Excess Cash Flow for such Fiscal Year (in each case under this clause (i) other than to the extent any such Capital Expenditure or Permitted Acquisition is made or is expected to be made with the proceeds of Indebtedness, any Equity Issuance, casualty proceeds, condemnation proceeds or other proceeds that would not be included in Consolidated Net Income), (ii) the aggregate amount of all scheduled principal payments, cash interest payments or repayments of Indebtedness (other than mandatory prepayments of Loans) made by Holdings and its Subsidiaries during such Fiscal Year, but only to the extent that such payments or repayments by their terms cannot be reborrowed or redrawn and do not occur in connection with a refinancing of all or any portion of such Indebtedness, (iii) an amount equal to the amount of all non-cash credits to the extent included in determining Consolidated Net Income for such Fiscal Year, (iv) Tax Distributions to the extent permitted hereunder and paid in cash and (v) the aggregate amount of gains or losses from Asset Dispositions and Insurance and Condemnation Events during such Fiscal Year to the extent such gains or losses are included in the determination of Consolidated Net Income for such Fiscal Year.</w:t>
      </w:r>
    </w:p>
    <w:p>
      <w:pPr>
        <w:spacing w:after="0" w:line="16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w:t>
      </w:r>
    </w:p>
    <w:p>
      <w:pPr>
        <w:spacing w:after="0" w:line="279"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w:t>
      </w:r>
      <w:r>
        <w:rPr>
          <w:rFonts w:ascii="Arial" w:cs="Arial" w:eastAsia="Arial" w:hAnsi="Arial"/>
          <w:sz w:val="17"/>
          <w:szCs w:val="17"/>
          <w:b w:val="1"/>
          <w:bCs w:val="1"/>
          <w:color w:val="auto"/>
        </w:rPr>
        <w:t>[Section 2.12]</w:t>
      </w:r>
      <w:r>
        <w:rPr>
          <w:rFonts w:ascii="Arial" w:cs="Arial" w:eastAsia="Arial" w:hAnsi="Arial"/>
          <w:sz w:val="17"/>
          <w:szCs w:val="17"/>
          <w:color w:val="auto"/>
        </w:rPr>
        <w:t xml:space="preserve"> of the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78" w:lineRule="exact"/>
        <w:rPr>
          <w:sz w:val="20"/>
          <w:szCs w:val="20"/>
          <w:color w:val="auto"/>
        </w:rPr>
      </w:pPr>
    </w:p>
    <w:p>
      <w:pPr>
        <w:jc w:val="both"/>
        <w:ind w:left="4" w:firstLine="67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left="4" w:hanging="4"/>
        <w:spacing w:after="0" w:line="277" w:lineRule="auto"/>
        <w:tabs>
          <w:tab w:leader="none" w:pos="221"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w:t>
      </w:r>
    </w:p>
    <w:p>
      <w:pPr>
        <w:spacing w:after="0" w:line="20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4"/>
          </w:cols>
          <w:pgMar w:left="356" w:top="800" w:right="239" w:bottom="1440" w:gutter="0" w:footer="0" w:header="0"/>
        </w:sectPr>
      </w:pPr>
    </w:p>
    <w:bookmarkStart w:id="86" w:name="page87"/>
    <w:bookmarkEnd w:id="86"/>
    <w:p>
      <w:pPr>
        <w:jc w:val="both"/>
        <w:ind w:left="40"/>
        <w:spacing w:after="0" w:line="255" w:lineRule="auto"/>
        <w:rPr>
          <w:sz w:val="20"/>
          <w:szCs w:val="20"/>
          <w:color w:val="auto"/>
        </w:rPr>
      </w:pPr>
      <w:r>
        <w:rPr>
          <w:rFonts w:ascii="Arial" w:cs="Arial" w:eastAsia="Arial" w:hAnsi="Arial"/>
          <w:sz w:val="18"/>
          <w:szCs w:val="18"/>
          <w:color w:val="auto"/>
        </w:rPr>
        <w:t xml:space="preserve">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5.12(b))</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(d) any United States federal withholding Taxes imposed under FATCA. and (e) all liabilities, penalties and interest with respect to any of the foregoing.</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existing on the Closing Date and identified on </w:t>
      </w:r>
      <w:r>
        <w:rPr>
          <w:rFonts w:ascii="Arial" w:cs="Arial" w:eastAsia="Arial" w:hAnsi="Arial"/>
          <w:sz w:val="18"/>
          <w:szCs w:val="18"/>
          <w:u w:val="single" w:color="auto"/>
          <w:color w:val="auto"/>
        </w:rPr>
        <w:t>Schedule 1.1.</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xml:space="preserve"> means, as to any Lender at any time, (a) an amount equal to the sum of</w:t>
      </w:r>
    </w:p>
    <w:p>
      <w:pPr>
        <w:spacing w:after="0" w:line="36" w:lineRule="exact"/>
        <w:rPr>
          <w:sz w:val="20"/>
          <w:szCs w:val="20"/>
          <w:color w:val="auto"/>
        </w:rPr>
      </w:pPr>
    </w:p>
    <w:p>
      <w:pPr>
        <w:ind w:right="3300" w:firstLine="36"/>
        <w:spacing w:after="0" w:line="308" w:lineRule="auto"/>
        <w:tabs>
          <w:tab w:leader="none" w:pos="73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aggregate principal amount of all Revolving Credit Loans made by such Lender then outstanding, (ii) such Lender’s Revolving Credit Commitment Percentage of the L/C Obligations then outstanding,</w:t>
      </w:r>
    </w:p>
    <w:p>
      <w:pPr>
        <w:ind w:left="40" w:right="60" w:hanging="4"/>
        <w:spacing w:after="0" w:line="297" w:lineRule="auto"/>
        <w:tabs>
          <w:tab w:leader="none" w:pos="8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Lender’s Revolving Credit Commitment Percentage of the Swingline Loans then outstanding and (iv) the aggregate principal amount of the Term Loans made by such Lender then outstanding, or</w:t>
      </w:r>
    </w:p>
    <w:p>
      <w:pPr>
        <w:spacing w:after="0" w:line="1" w:lineRule="exact"/>
        <w:rPr>
          <w:sz w:val="20"/>
          <w:szCs w:val="20"/>
          <w:color w:val="auto"/>
        </w:rPr>
      </w:pPr>
    </w:p>
    <w:p>
      <w:pPr>
        <w:ind w:left="780" w:hanging="744"/>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making of any Loan or participation in any Letter of Credit by such Lender, as the context requires.</w:t>
      </w:r>
    </w:p>
    <w:p>
      <w:pPr>
        <w:spacing w:after="0" w:line="252" w:lineRule="exact"/>
        <w:rPr>
          <w:sz w:val="20"/>
          <w:szCs w:val="20"/>
          <w:color w:val="auto"/>
        </w:rPr>
      </w:pPr>
    </w:p>
    <w:p>
      <w:pPr>
        <w:ind w:left="40"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means Sections 1471 through 1474 of the Code, as of the date of this Agreement (or any amended or successor version that is substantively comparable and not materially more onerous to</w:t>
      </w:r>
    </w:p>
    <w:p>
      <w:pPr>
        <w:spacing w:after="0" w:line="22" w:lineRule="exact"/>
        <w:rPr>
          <w:sz w:val="20"/>
          <w:szCs w:val="20"/>
          <w:color w:val="auto"/>
        </w:rPr>
      </w:pPr>
    </w:p>
    <w:p>
      <w:pPr>
        <w:ind w:left="40" w:right="440"/>
        <w:spacing w:after="0" w:line="277" w:lineRule="auto"/>
        <w:rPr>
          <w:sz w:val="20"/>
          <w:szCs w:val="20"/>
          <w:color w:val="auto"/>
        </w:rPr>
      </w:pPr>
      <w:r>
        <w:rPr>
          <w:rFonts w:ascii="Arial" w:cs="Arial" w:eastAsia="Arial" w:hAnsi="Arial"/>
          <w:sz w:val="18"/>
          <w:szCs w:val="18"/>
          <w:color w:val="auto"/>
        </w:rPr>
        <w:t>comply with), any current or future regulations or official interpretations thereof and any agreements entered into pursuant to Section 1471(b)(1) of the Code.</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xml:space="preserve"> means the Federal Deposit Insurance Corporation.</w:t>
      </w:r>
    </w:p>
    <w:p>
      <w:pPr>
        <w:spacing w:after="0" w:line="279" w:lineRule="exact"/>
        <w:rPr>
          <w:sz w:val="20"/>
          <w:szCs w:val="20"/>
          <w:color w:val="auto"/>
        </w:rPr>
      </w:pPr>
    </w:p>
    <w:p>
      <w:pPr>
        <w:jc w:val="both"/>
        <w:ind w:lef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(or, if such day is not a Business Day, for the immediately preceding Business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rate is not so published for any day which is a Business Day, the Federal Funds Rate for such day shall be the average of the quotations for such day on such transactions received by the Administrative Agent from three federal funds brokers of recognized standing selected by the Administrative Agent.</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Letters”</w:t>
      </w:r>
      <w:r>
        <w:rPr>
          <w:rFonts w:ascii="Arial" w:cs="Arial" w:eastAsia="Arial" w:hAnsi="Arial"/>
          <w:sz w:val="16"/>
          <w:szCs w:val="16"/>
          <w:color w:val="auto"/>
        </w:rPr>
        <w:t xml:space="preserve"> means (a) that certain fee letter agreement dated July 21, 2014 among the Borrower, Wells Fargo, and Wells Fargo Securities, LLC,</w:t>
      </w:r>
    </w:p>
    <w:p>
      <w:pPr>
        <w:spacing w:after="0" w:line="46" w:lineRule="exact"/>
        <w:rPr>
          <w:sz w:val="20"/>
          <w:szCs w:val="20"/>
          <w:color w:val="auto"/>
        </w:rPr>
      </w:pPr>
    </w:p>
    <w:p>
      <w:pPr>
        <w:jc w:val="both"/>
        <w:ind w:left="40" w:hanging="4"/>
        <w:spacing w:after="0" w:line="255" w:lineRule="auto"/>
        <w:tabs>
          <w:tab w:leader="none" w:pos="3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certain fee letter agreement dated July 21, 2014 among the Borrower, Bank of America, N.A. and Merrill Lynch, Pierce, Fenner &amp; Smith Incorporated, and (c) any letter between the Borrower and any Issuing Lender (other than Wells Fargo) relating to certain fees payable to such Issuing Lender in its capacity as such.</w:t>
      </w:r>
    </w:p>
    <w:p>
      <w:pPr>
        <w:spacing w:after="0" w:line="204"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any Foreign Subsidiary that is a “controlled foreign corporation” within the meaning of Section 957 of the Code and the Equity Interests of which are owned directly by any Credit Party.</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Period</w:t>
      </w:r>
      <w:r>
        <w:rPr>
          <w:rFonts w:ascii="Arial" w:cs="Arial" w:eastAsia="Arial" w:hAnsi="Arial"/>
          <w:sz w:val="18"/>
          <w:szCs w:val="18"/>
          <w:color w:val="auto"/>
        </w:rPr>
        <w:t>” means each period of 4 weeks, commencing on the first day of Holdings’ Fiscal Year.</w:t>
      </w:r>
    </w:p>
    <w:p>
      <w:pPr>
        <w:spacing w:after="0" w:line="293"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xml:space="preserve"> means each fiscal quarter ending on the Sunday that is 12, 24, 36 and 52 weeks in each Fiscal Year (or 53 weeks in a Fiscal year containing 53 weeks)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Holdings and its Subsidiaries ending on the last Sunday of December.</w:t>
      </w:r>
    </w:p>
    <w:p>
      <w:pPr>
        <w:spacing w:after="0" w:line="225" w:lineRule="exact"/>
        <w:rPr>
          <w:sz w:val="20"/>
          <w:szCs w:val="20"/>
          <w:color w:val="auto"/>
        </w:rPr>
      </w:pPr>
    </w:p>
    <w:p>
      <w:pPr>
        <w:jc w:val="both"/>
        <w:ind w:left="40" w:right="20" w:firstLine="67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xml:space="preserve">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79" w:lineRule="exact"/>
        <w:rPr>
          <w:sz w:val="20"/>
          <w:szCs w:val="20"/>
          <w:color w:val="auto"/>
        </w:rPr>
      </w:pPr>
    </w:p>
    <w:p>
      <w:pPr>
        <w:jc w:val="both"/>
        <w:ind w:lef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xml:space="preserve">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320" w:top="584" w:right="239" w:bottom="1440" w:gutter="0" w:footer="0" w:header="0"/>
        </w:sectPr>
      </w:pPr>
    </w:p>
    <w:bookmarkStart w:id="87" w:name="page88"/>
    <w:bookmarkEnd w:id="87"/>
    <w:p>
      <w:pPr>
        <w:jc w:val="both"/>
        <w:ind w:left="40"/>
        <w:spacing w:after="0" w:line="259" w:lineRule="auto"/>
        <w:rPr>
          <w:sz w:val="20"/>
          <w:szCs w:val="20"/>
          <w:color w:val="auto"/>
        </w:rPr>
      </w:pPr>
      <w:r>
        <w:rPr>
          <w:rFonts w:ascii="Arial" w:cs="Arial" w:eastAsia="Arial" w:hAnsi="Arial"/>
          <w:sz w:val="18"/>
          <w:szCs w:val="18"/>
          <w:color w:val="auto"/>
        </w:rPr>
        <w:t>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repaid by the Borrower or Cash Collateralized in accordance with the terms hereof.</w:t>
      </w:r>
    </w:p>
    <w:p>
      <w:pPr>
        <w:spacing w:after="0" w:line="38"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xml:space="preserve"> means any Person (other than a natural Person) that is (or will be) engaged in making, purchasing, holding or otherwise investing in commercial loans and similar extensions of credit in the ordinary course of its activities.</w:t>
      </w:r>
    </w:p>
    <w:p>
      <w:pPr>
        <w:spacing w:after="0" w:line="184"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means all authorizations, consents, approvals, permits, licenses and exemptions of, and all registrations and filings with or issued by, any Governmental Authorities.</w:t>
      </w:r>
    </w:p>
    <w:p>
      <w:pPr>
        <w:spacing w:after="0" w:line="184"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200" w:lineRule="exact"/>
        <w:rPr>
          <w:sz w:val="20"/>
          <w:szCs w:val="20"/>
          <w:color w:val="auto"/>
        </w:rPr>
      </w:pPr>
    </w:p>
    <w:p>
      <w:pPr>
        <w:jc w:val="both"/>
        <w:ind w:lef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Growth Capital Expenditures”</w:t>
      </w:r>
      <w:r>
        <w:rPr>
          <w:rFonts w:ascii="Arial" w:cs="Arial" w:eastAsia="Arial" w:hAnsi="Arial"/>
          <w:sz w:val="18"/>
          <w:szCs w:val="18"/>
          <w:color w:val="auto"/>
        </w:rPr>
        <w:t xml:space="preserve"> means Capital Expenditures in connection with (a) the purchase or construction of new stores or restaurants (including in connection with franchise buybacks and purchases of competitor restaurants), (b) the major or substantial remodeling of existing Restaurants, or</w:t>
      </w:r>
    </w:p>
    <w:p>
      <w:pPr>
        <w:spacing w:after="0"/>
        <w:rPr>
          <w:sz w:val="20"/>
          <w:szCs w:val="20"/>
          <w:color w:val="auto"/>
        </w:rPr>
      </w:pPr>
      <w:r>
        <w:rPr>
          <w:rFonts w:ascii="Arial" w:cs="Arial" w:eastAsia="Arial" w:hAnsi="Arial"/>
          <w:sz w:val="18"/>
          <w:szCs w:val="18"/>
          <w:color w:val="auto"/>
        </w:rPr>
        <w:t>(b) the major or substantial expansion of capacity at Borrower’s bakery manufacturing facilities.</w:t>
      </w:r>
    </w:p>
    <w:p>
      <w:pPr>
        <w:spacing w:after="0" w:line="211" w:lineRule="exact"/>
        <w:rPr>
          <w:sz w:val="20"/>
          <w:szCs w:val="20"/>
          <w:color w:val="auto"/>
        </w:rPr>
      </w:pPr>
    </w:p>
    <w:p>
      <w:pPr>
        <w:jc w:val="both"/>
        <w:ind w:lef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Holdings and each Subsidiary Guarantor.</w:t>
      </w:r>
    </w:p>
    <w:p>
      <w:pPr>
        <w:spacing w:after="0" w:line="279"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w:t>
      </w:r>
      <w:r>
        <w:rPr>
          <w:rFonts w:ascii="Arial" w:cs="Arial" w:eastAsia="Arial" w:hAnsi="Arial"/>
          <w:sz w:val="18"/>
          <w:szCs w:val="18"/>
          <w:color w:val="auto"/>
        </w:rPr>
        <w:t xml:space="preserve"> means, the unconditional guaranty agreement of even date herewith executed by the Guarantors in favor of the Administrative Agent, for the ratable benefit of the Secured Parties.</w:t>
      </w:r>
    </w:p>
    <w:p>
      <w:pPr>
        <w:spacing w:after="0" w:line="184" w:lineRule="exact"/>
        <w:rPr>
          <w:sz w:val="20"/>
          <w:szCs w:val="20"/>
          <w:color w:val="auto"/>
        </w:rPr>
      </w:pPr>
    </w:p>
    <w:p>
      <w:pPr>
        <w:jc w:val="both"/>
        <w:ind w:left="40" w:firstLine="67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xml:space="preserve">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public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or (f) which contain, without limitation, asbestos, polychlorinated biphenyls, urea formaldehyde foam insulation, petroleum hydrocarbons, petroleum derived substances or waste, crude oil, nuclear fuel, natural gas or synthetic gas.</w:t>
      </w:r>
    </w:p>
    <w:p>
      <w:pPr>
        <w:spacing w:after="0" w:line="192" w:lineRule="exact"/>
        <w:rPr>
          <w:sz w:val="20"/>
          <w:szCs w:val="20"/>
          <w:color w:val="auto"/>
        </w:rPr>
      </w:pPr>
    </w:p>
    <w:p>
      <w:pPr>
        <w:jc w:val="both"/>
        <w:ind w:lef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638" w:right="2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8"/>
          <w:szCs w:val="18"/>
          <w:color w:val="auto"/>
        </w:rPr>
        <w:t>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Bank”</w:t>
      </w:r>
      <w:r>
        <w:rPr>
          <w:rFonts w:ascii="Arial" w:cs="Arial" w:eastAsia="Arial" w:hAnsi="Arial"/>
          <w:sz w:val="16"/>
          <w:szCs w:val="16"/>
          <w:color w:val="auto"/>
        </w:rPr>
        <w:t xml:space="preserve"> means any Person that, (a) at the time it enters into a Hedge Agreement with a Credit Party permitted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is a Lender, an Affiliate of a Lender, the Administrative Agent or an Affiliate of the Administrative Agent or (b) at the time it (or its Affiliate) becomes a Lender (including on the Closing Date), is a party to a Hedge Agreement with a Credit Party, in each case in its capacity as a party to such Hedge Agreement.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Termination Value”</w:t>
      </w:r>
      <w:r>
        <w:rPr>
          <w:rFonts w:ascii="Arial" w:cs="Arial" w:eastAsia="Arial" w:hAnsi="Arial"/>
          <w:sz w:val="16"/>
          <w:szCs w:val="16"/>
          <w:color w:val="auto"/>
        </w:rPr>
        <w:t xml:space="preserve">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means Fidelity Newport Holdings, LLC a Delaware limited liability company.</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 JAX Guaranty Obligations”</w:t>
      </w:r>
      <w:r>
        <w:rPr>
          <w:rFonts w:ascii="Arial" w:cs="Arial" w:eastAsia="Arial" w:hAnsi="Arial"/>
          <w:sz w:val="16"/>
          <w:szCs w:val="16"/>
          <w:color w:val="auto"/>
        </w:rPr>
        <w:t xml:space="preserve"> means the obligations of Holdings to guaranty the obligations of J. Alexander’s Corporation (now known as J. Alexander’s, LLC) under those certain salary continuation agreements dated December 26, 2008 made between J. Alexander’s Corporation and certain of its executives, which guaranty obligations arise under those certain letter agreements dated July 30, 2012 among J. Alexander’s Corporation, Holdings, Fidelity National Financial, Inc., American Blue Ribbon Holdings, Inc., and the applicable executives of J. Alexander’s Corporation (which letter agreements modify certain other letter agreements dated June 12, 2012), in each case, as such agreements are in effect as of the Closing Date.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w:t>
      </w:r>
    </w:p>
    <w:p>
      <w:pPr>
        <w:spacing w:after="0" w:line="3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Commitments”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5.13(a)(ii).</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5.13(a)(ii).</w:t>
      </w:r>
    </w:p>
    <w:p>
      <w:pPr>
        <w:spacing w:after="0" w:line="279" w:lineRule="exact"/>
        <w:rPr>
          <w:sz w:val="20"/>
          <w:szCs w:val="20"/>
          <w:color w:val="auto"/>
        </w:rPr>
      </w:pPr>
    </w:p>
    <w:p>
      <w:pPr>
        <w:ind w:left="620"/>
        <w:spacing w:after="0"/>
        <w:tabs>
          <w:tab w:leader="none" w:pos="4080" w:val="left"/>
          <w:tab w:leader="none" w:pos="4500" w:val="left"/>
          <w:tab w:leader="none" w:pos="4900" w:val="left"/>
          <w:tab w:leader="none" w:pos="5700" w:val="left"/>
          <w:tab w:leader="none" w:pos="6500" w:val="left"/>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Commitment”</w:t>
      </w:r>
      <w:r>
        <w:rPr>
          <w:rFonts w:ascii="Arial" w:cs="Arial" w:eastAsia="Arial" w:hAnsi="Arial"/>
          <w:sz w:val="18"/>
          <w:szCs w:val="18"/>
          <w:color w:val="auto"/>
        </w:rPr>
        <w:tab/>
        <w:t>has</w:t>
        <w:tab/>
        <w:t>the</w:t>
        <w:tab/>
        <w:t>meaning</w:t>
        <w:tab/>
        <w:t>assigned</w:t>
        <w:tab/>
        <w:t>thereto</w:t>
      </w:r>
      <w:r>
        <w:rPr>
          <w:sz w:val="20"/>
          <w:szCs w:val="20"/>
          <w:color w:val="auto"/>
        </w:rPr>
        <w:tab/>
      </w:r>
      <w:r>
        <w:rPr>
          <w:rFonts w:ascii="Arial" w:cs="Arial" w:eastAsia="Arial" w:hAnsi="Arial"/>
          <w:sz w:val="16"/>
          <w:szCs w:val="16"/>
          <w:color w:val="auto"/>
        </w:rPr>
        <w:t xml:space="preserve">in </w:t>
      </w:r>
      <w:r>
        <w:rPr>
          <w:rFonts w:ascii="Arial" w:cs="Arial" w:eastAsia="Arial" w:hAnsi="Arial"/>
          <w:sz w:val="16"/>
          <w:szCs w:val="16"/>
          <w:u w:val="single" w:color="auto"/>
          <w:color w:val="auto"/>
        </w:rPr>
        <w:t>Section 5.13(a)(ii).</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Increase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5.13(a)(ii).</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with respect to any Person at any date and without duplication, the sum of the following:</w:t>
      </w:r>
    </w:p>
    <w:p>
      <w:pPr>
        <w:spacing w:after="0" w:line="252" w:lineRule="exact"/>
        <w:rPr>
          <w:sz w:val="20"/>
          <w:szCs w:val="20"/>
          <w:color w:val="auto"/>
        </w:rPr>
      </w:pPr>
    </w:p>
    <w:p>
      <w:pPr>
        <w:ind w:left="620" w:firstLine="646"/>
        <w:spacing w:after="0" w:line="324" w:lineRule="auto"/>
        <w:tabs>
          <w:tab w:leader="none" w:pos="20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liabilities, obligations and indebtedness for borrowed money including, but not limited to, obligations evidenced by bonds, debentures, notes or other similar instruments of any such Person;</w:t>
      </w:r>
    </w:p>
    <w:p>
      <w:pPr>
        <w:spacing w:after="0" w:line="170" w:lineRule="exact"/>
        <w:rPr>
          <w:rFonts w:ascii="Arial" w:cs="Arial" w:eastAsia="Arial" w:hAnsi="Arial"/>
          <w:sz w:val="18"/>
          <w:szCs w:val="18"/>
          <w:color w:val="auto"/>
        </w:rPr>
      </w:pPr>
    </w:p>
    <w:p>
      <w:pPr>
        <w:jc w:val="both"/>
        <w:ind w:left="620" w:firstLine="646"/>
        <w:spacing w:after="0" w:line="311" w:lineRule="auto"/>
        <w:tabs>
          <w:tab w:leader="none" w:pos="20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obligations to pay the deferred purchase price of property or services of any such Person (including, without limitation, all obligations under non-competition agreements (other than pursuant to employment or severance agreements), earn-out agreements or similar agreements), except trade payables arising in the ordinary course of business not more than ninety</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60" w:top="584" w:right="239" w:bottom="1440" w:gutter="0" w:footer="0" w:header="0"/>
        </w:sectPr>
      </w:pPr>
    </w:p>
    <w:bookmarkStart w:id="89" w:name="page90"/>
    <w:bookmarkEnd w:id="89"/>
    <w:p>
      <w:pPr>
        <w:jc w:val="both"/>
        <w:ind w:left="660" w:hanging="3"/>
        <w:spacing w:after="0" w:line="264" w:lineRule="auto"/>
        <w:tabs>
          <w:tab w:leader="none" w:pos="10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days past due, or that are currently being contested in good faith by appropriate proceedings and with respect to which reserves in conformity with GAAP have been provided for on the books of such Person and, for the avoidance of doubt, other than royalty payments payable in the ordinary course of business in respect of non-exclusive licenses or Permitted Exclusive Licenses;</w:t>
      </w:r>
    </w:p>
    <w:p>
      <w:pPr>
        <w:spacing w:after="0" w:line="221" w:lineRule="exact"/>
        <w:rPr>
          <w:rFonts w:ascii="Arial" w:cs="Arial" w:eastAsia="Arial" w:hAnsi="Arial"/>
          <w:sz w:val="18"/>
          <w:szCs w:val="18"/>
          <w:color w:val="auto"/>
        </w:rPr>
      </w:pPr>
    </w:p>
    <w:p>
      <w:pPr>
        <w:ind w:left="660" w:right="20" w:firstLine="646"/>
        <w:spacing w:after="0" w:line="324" w:lineRule="auto"/>
        <w:tabs>
          <w:tab w:leader="none" w:pos="20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Attributable Indebtedness of such Person with respect to such Person’s Capital Lease Obligations and Synthetic Leases (regardless of whether accounted for as indebtedness under GAAP);</w:t>
      </w:r>
    </w:p>
    <w:p>
      <w:pPr>
        <w:spacing w:after="0" w:line="170" w:lineRule="exact"/>
        <w:rPr>
          <w:rFonts w:ascii="Arial" w:cs="Arial" w:eastAsia="Arial" w:hAnsi="Arial"/>
          <w:sz w:val="18"/>
          <w:szCs w:val="18"/>
          <w:color w:val="auto"/>
        </w:rPr>
      </w:pPr>
    </w:p>
    <w:p>
      <w:pPr>
        <w:jc w:val="both"/>
        <w:ind w:left="660" w:firstLine="646"/>
        <w:spacing w:after="0" w:line="311" w:lineRule="auto"/>
        <w:tabs>
          <w:tab w:leader="none" w:pos="20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94" w:lineRule="exact"/>
        <w:rPr>
          <w:rFonts w:ascii="Arial" w:cs="Arial" w:eastAsia="Arial" w:hAnsi="Arial"/>
          <w:sz w:val="18"/>
          <w:szCs w:val="18"/>
          <w:color w:val="auto"/>
        </w:rPr>
      </w:pPr>
    </w:p>
    <w:p>
      <w:pPr>
        <w:jc w:val="both"/>
        <w:ind w:left="660" w:firstLine="646"/>
        <w:spacing w:after="0" w:line="311" w:lineRule="auto"/>
        <w:tabs>
          <w:tab w:leader="none" w:pos="20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181" w:lineRule="exact"/>
        <w:rPr>
          <w:rFonts w:ascii="Arial" w:cs="Arial" w:eastAsia="Arial" w:hAnsi="Arial"/>
          <w:sz w:val="18"/>
          <w:szCs w:val="18"/>
          <w:color w:val="auto"/>
        </w:rPr>
      </w:pPr>
    </w:p>
    <w:p>
      <w:pPr>
        <w:ind w:left="660" w:firstLine="646"/>
        <w:spacing w:after="0" w:line="357" w:lineRule="auto"/>
        <w:tabs>
          <w:tab w:leader="none" w:pos="2042"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20" w:lineRule="exact"/>
        <w:rPr>
          <w:rFonts w:ascii="Arial" w:cs="Arial" w:eastAsia="Arial" w:hAnsi="Arial"/>
          <w:sz w:val="17"/>
          <w:szCs w:val="17"/>
          <w:color w:val="auto"/>
        </w:rPr>
      </w:pPr>
    </w:p>
    <w:p>
      <w:pPr>
        <w:ind w:left="1960" w:hanging="654"/>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obligations of any such Person in respect of Disqualified Equity Interests;</w:t>
      </w:r>
    </w:p>
    <w:p>
      <w:pPr>
        <w:spacing w:after="0" w:line="225" w:lineRule="exact"/>
        <w:rPr>
          <w:rFonts w:ascii="Arial" w:cs="Arial" w:eastAsia="Arial" w:hAnsi="Arial"/>
          <w:sz w:val="18"/>
          <w:szCs w:val="18"/>
          <w:color w:val="auto"/>
        </w:rPr>
      </w:pPr>
    </w:p>
    <w:p>
      <w:pPr>
        <w:ind w:left="1960" w:hanging="654"/>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net obligations of such Person under any Hedge Agreements; and</w:t>
      </w:r>
    </w:p>
    <w:p>
      <w:pPr>
        <w:spacing w:after="0" w:line="225" w:lineRule="exact"/>
        <w:rPr>
          <w:rFonts w:ascii="Arial" w:cs="Arial" w:eastAsia="Arial" w:hAnsi="Arial"/>
          <w:sz w:val="18"/>
          <w:szCs w:val="18"/>
          <w:color w:val="auto"/>
        </w:rPr>
      </w:pPr>
    </w:p>
    <w:p>
      <w:pPr>
        <w:ind w:left="1980" w:hanging="647"/>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Guarantees of any such Person with respect to any of the foregoing.</w:t>
      </w:r>
    </w:p>
    <w:p>
      <w:pPr>
        <w:spacing w:after="0" w:line="225" w:lineRule="exact"/>
        <w:rPr>
          <w:sz w:val="20"/>
          <w:szCs w:val="20"/>
          <w:color w:val="auto"/>
        </w:rPr>
      </w:pPr>
    </w:p>
    <w:p>
      <w:pPr>
        <w:jc w:val="both"/>
        <w:ind w:left="40" w:firstLine="648"/>
        <w:spacing w:after="0" w:line="293" w:lineRule="auto"/>
        <w:rPr>
          <w:sz w:val="20"/>
          <w:szCs w:val="20"/>
          <w:color w:val="auto"/>
        </w:rPr>
      </w:pPr>
      <w:r>
        <w:rPr>
          <w:rFonts w:ascii="Arial" w:cs="Arial" w:eastAsia="Arial" w:hAnsi="Arial"/>
          <w:sz w:val="16"/>
          <w:szCs w:val="16"/>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Hedge Agreement on any date shall be deemed to be the Hedge Termination Value thereof as of such date. Notwithstanding anything to the contrary in any Loan Document, “Indebtedness” shall be expressly deemed to exclude (i) the Holdings JAX Guaranty Obligations, (ii) obligations under the Profits Interest Program or the Restricted Stock Program, (iii) any accruals with respect to the Phantom Equity Agreement or any payment to be made in connection with the termination thereof and (iv) the Specified Dividend.</w:t>
      </w:r>
    </w:p>
    <w:p>
      <w:pPr>
        <w:spacing w:after="0" w:line="178" w:lineRule="exact"/>
        <w:rPr>
          <w:sz w:val="20"/>
          <w:szCs w:val="20"/>
          <w:color w:val="auto"/>
        </w:rPr>
      </w:pPr>
    </w:p>
    <w:p>
      <w:pPr>
        <w:jc w:val="both"/>
        <w:ind w:lef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any Credit Party under any Loan Document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to the extent not otherwise described in clause (a), Other Taxes.</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the term loan made, or to be made, to the Borrower by the Term Loan Lenders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79" w:lineRule="exact"/>
        <w:rPr>
          <w:sz w:val="20"/>
          <w:szCs w:val="20"/>
          <w:color w:val="auto"/>
        </w:rPr>
      </w:pPr>
    </w:p>
    <w:p>
      <w:pPr>
        <w:jc w:val="both"/>
        <w:ind w:lef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and Condemnation Event”</w:t>
      </w:r>
      <w:r>
        <w:rPr>
          <w:rFonts w:ascii="Arial" w:cs="Arial" w:eastAsia="Arial" w:hAnsi="Arial"/>
          <w:sz w:val="16"/>
          <w:szCs w:val="16"/>
          <w:color w:val="auto"/>
        </w:rPr>
        <w:t xml:space="preserve">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37"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LIBOR Rate Loan, the period commencing on the date such LIBOR Rate Loan is disbursed or converted to or continued as a LIBOR Rate Loan and ending on the date one (1), three (3), or six (6) months or, if agreed by all of the relevant Lenders twelve (12) months thereafter, in each case as selected by the Borrower in its Notice of Borrowing or Notice of Conversion/Continuation and subject to availability;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14" w:lineRule="exact"/>
        <w:rPr>
          <w:sz w:val="20"/>
          <w:szCs w:val="20"/>
          <w:color w:val="auto"/>
        </w:rPr>
      </w:pPr>
    </w:p>
    <w:p>
      <w:pPr>
        <w:jc w:val="both"/>
        <w:ind w:left="680" w:firstLine="653"/>
        <w:spacing w:after="0" w:line="311" w:lineRule="auto"/>
        <w:tabs>
          <w:tab w:leader="none" w:pos="20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Interest Period shall commence on the date of advance of or conversion to any LIBOR Rate Loan and, in the case of immediately successive Interest Periods, each successive Interest Period shall commence on the date on which the immediately preceding Interest Period expires;</w:t>
      </w:r>
    </w:p>
    <w:p>
      <w:pPr>
        <w:spacing w:after="0" w:line="181" w:lineRule="exact"/>
        <w:rPr>
          <w:rFonts w:ascii="Arial" w:cs="Arial" w:eastAsia="Arial" w:hAnsi="Arial"/>
          <w:sz w:val="18"/>
          <w:szCs w:val="18"/>
          <w:color w:val="auto"/>
        </w:rPr>
      </w:pPr>
    </w:p>
    <w:p>
      <w:pPr>
        <w:ind w:left="680" w:firstLine="653"/>
        <w:spacing w:after="0" w:line="324" w:lineRule="auto"/>
        <w:tabs>
          <w:tab w:leader="none" w:pos="20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with respect to a LIBOR Rate</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320" w:top="584" w:right="239" w:bottom="1440" w:gutter="0" w:footer="0" w:header="0"/>
        </w:sectPr>
      </w:pPr>
    </w:p>
    <w:bookmarkStart w:id="90" w:name="page91"/>
    <w:bookmarkEnd w:id="90"/>
    <w:p>
      <w:pPr>
        <w:ind w:left="640"/>
        <w:spacing w:after="0" w:line="324" w:lineRule="auto"/>
        <w:rPr>
          <w:sz w:val="20"/>
          <w:szCs w:val="20"/>
          <w:color w:val="auto"/>
        </w:rPr>
      </w:pPr>
      <w:r>
        <w:rPr>
          <w:rFonts w:ascii="Arial" w:cs="Arial" w:eastAsia="Arial" w:hAnsi="Arial"/>
          <w:sz w:val="18"/>
          <w:szCs w:val="18"/>
          <w:color w:val="auto"/>
        </w:rPr>
        <w:t>Loan would otherwise expire on a day that is not a Business Day but is a day of the month after which no further Business Day occurs in such month, such Interest Period shall expire on the immediately preceding Business Day;</w:t>
      </w:r>
    </w:p>
    <w:p>
      <w:pPr>
        <w:spacing w:after="0" w:line="184" w:lineRule="exact"/>
        <w:rPr>
          <w:sz w:val="20"/>
          <w:szCs w:val="20"/>
          <w:color w:val="auto"/>
        </w:rPr>
      </w:pPr>
    </w:p>
    <w:p>
      <w:pPr>
        <w:jc w:val="both"/>
        <w:ind w:left="640" w:firstLine="653"/>
        <w:spacing w:after="0" w:line="311" w:lineRule="auto"/>
        <w:tabs>
          <w:tab w:leader="none" w:pos="20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Interest Period with respect to a LIBOR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1" w:lineRule="exact"/>
        <w:rPr>
          <w:rFonts w:ascii="Arial" w:cs="Arial" w:eastAsia="Arial" w:hAnsi="Arial"/>
          <w:sz w:val="18"/>
          <w:szCs w:val="18"/>
          <w:color w:val="auto"/>
        </w:rPr>
      </w:pPr>
    </w:p>
    <w:p>
      <w:pPr>
        <w:jc w:val="both"/>
        <w:ind w:left="640" w:firstLine="653"/>
        <w:spacing w:after="0" w:line="311" w:lineRule="auto"/>
        <w:tabs>
          <w:tab w:leader="none" w:pos="20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no Interest Period shall extend beyond the Revolving Credit Maturity Date or the Term Loan Maturity Date, as applicable, and Interest Periods shall be selected by the Borrower so as to permit the Borrower to make the quarterly principal installment payments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without payment of any amounts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w:t>
      </w:r>
    </w:p>
    <w:p>
      <w:pPr>
        <w:spacing w:after="0" w:line="154" w:lineRule="exact"/>
        <w:rPr>
          <w:rFonts w:ascii="Arial" w:cs="Arial" w:eastAsia="Arial" w:hAnsi="Arial"/>
          <w:sz w:val="18"/>
          <w:szCs w:val="18"/>
          <w:color w:val="auto"/>
        </w:rPr>
      </w:pPr>
    </w:p>
    <w:p>
      <w:pPr>
        <w:ind w:left="1940" w:hanging="647"/>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shall be no more than six (6) Interest Periods in effect at any time.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means an initial public offering of Equity Interests by Holdings registered with the Securities Exchange Commission under the Securities Act of 1933.</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xml:space="preserve"> means the United States Internal Revenue Service.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ISP98”</w:t>
      </w:r>
      <w:r>
        <w:rPr>
          <w:rFonts w:ascii="Arial" w:cs="Arial" w:eastAsia="Arial" w:hAnsi="Arial"/>
          <w:sz w:val="16"/>
          <w:szCs w:val="16"/>
          <w:color w:val="auto"/>
        </w:rPr>
        <w:t xml:space="preserve"> means the International Standby Practices (1998 Revision, effective January 1, 1999), International Chamber of Commerce Publication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590.</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means (a) with respect to Letters of Credit issued hereunder on or after the Closing Date, Wells Fargo or any other Lender that may issue a Letter of Credit to Borrower or a Subsidiary of Borrower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(b) with respect to the Existing Letters of Credit, Wells Fargo Capital Finance, LLC, in its capacity as issuer thereof.</w:t>
      </w:r>
    </w:p>
    <w:p>
      <w:pPr>
        <w:spacing w:after="0" w:line="195" w:lineRule="exact"/>
        <w:rPr>
          <w:sz w:val="20"/>
          <w:szCs w:val="20"/>
          <w:color w:val="auto"/>
        </w:rPr>
      </w:pPr>
    </w:p>
    <w:p>
      <w:pPr>
        <w:jc w:val="both"/>
        <w:ind w:firstLine="67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any Issuing Lender, the obligation of such Issuing Lender to issue Letters of Credit for the account of the Borrower from time to time in an aggregate amount equal to the amount set forth opposite the name of each Issuing Lender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any such amount may be changed after the Closing Date in a written agreement between the Borrower and such Issuing Lender (which such agreement shall be promptly delivered to the Administrative Agent upon execution);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w:t>
      </w:r>
      <w:r>
        <w:rPr>
          <w:rFonts w:ascii="Arial" w:cs="Arial" w:eastAsia="Arial" w:hAnsi="Arial"/>
          <w:sz w:val="18"/>
          <w:szCs w:val="18"/>
          <w:color w:val="auto"/>
        </w:rPr>
        <w:t xml:space="preserve"> means the letter of credit facility established pursuant to </w:t>
      </w:r>
      <w:r>
        <w:rPr>
          <w:rFonts w:ascii="Arial" w:cs="Arial" w:eastAsia="Arial" w:hAnsi="Arial"/>
          <w:sz w:val="18"/>
          <w:szCs w:val="18"/>
          <w:u w:val="single" w:color="auto"/>
          <w:color w:val="auto"/>
        </w:rPr>
        <w:t>Article III.</w:t>
      </w:r>
    </w:p>
    <w:p>
      <w:pPr>
        <w:spacing w:after="0" w:line="27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xml:space="preserve"> means, with respect to any Letter of Credit, the collective reference to all the Revolving Credit Lenders other than the applicable Issuing Lender.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means the lesser of (a) Forty Million Dollars ($40,000,000) and (b) the Revolving Credit Commitment.</w:t>
      </w:r>
    </w:p>
    <w:p>
      <w:pPr>
        <w:spacing w:after="0" w:line="2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and any other Person that shall have become a party to this Agreement as a Lender pursuant to an Assignment and Assumption or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other than any Person that ceases to be a party hereto as a Lender pursuant to an Assignment and Assumption. Unless the context otherwise requires, the term “Lenders” includes the Swingline Lender.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Joinder Agreement”</w:t>
      </w:r>
      <w:r>
        <w:rPr>
          <w:rFonts w:ascii="Arial" w:cs="Arial" w:eastAsia="Arial" w:hAnsi="Arial"/>
          <w:sz w:val="18"/>
          <w:szCs w:val="18"/>
          <w:color w:val="auto"/>
        </w:rPr>
        <w:t xml:space="preserve"> means a joinder agreement in form and substance reasonably satisfactory to the Administrative Agent delivered in connection with </w:t>
      </w:r>
      <w:r>
        <w:rPr>
          <w:rFonts w:ascii="Arial" w:cs="Arial" w:eastAsia="Arial" w:hAnsi="Arial"/>
          <w:sz w:val="18"/>
          <w:szCs w:val="18"/>
          <w:u w:val="single" w:color="auto"/>
          <w:color w:val="auto"/>
        </w:rPr>
        <w:t>Section 5.13.</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xml:space="preserve"> means, with respect to any Lender, the office of such Lender maintaining such Lender’s Extensions of Credit.</w:t>
      </w: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60" w:top="611" w:right="239" w:bottom="1440" w:gutter="0" w:footer="0" w:header="0"/>
        </w:sectPr>
      </w:pPr>
    </w:p>
    <w:bookmarkStart w:id="91" w:name="page92"/>
    <w:bookmarkEnd w:id="91"/>
    <w:p>
      <w:pPr>
        <w:ind w:left="40"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xml:space="preserve"> means an application, in the form specified by the applicable Issuing Lender from time to time, requesting such Issuing Lender to issue a Letter of Credit.</w:t>
      </w:r>
    </w:p>
    <w:p>
      <w:pPr>
        <w:spacing w:after="0" w:line="238"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means the collective reference to letters of credit issued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the Existing Letters of Credit. Notwithstanding anything to the contrary contained herein, a letter of credit issued by any Issuing Lender (other than Wells Fargo at any time it is also acting as Administrative Agent) shall not be a “Letter of Credit” for purposes of the Loan Documents until such time as the Administrative Agent has been notified in writing of the issuance thereof by the applicable Issuing Lender.</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w:t>
      </w:r>
    </w:p>
    <w:p>
      <w:pPr>
        <w:spacing w:after="0" w:line="252" w:lineRule="exact"/>
        <w:rPr>
          <w:sz w:val="20"/>
          <w:szCs w:val="20"/>
          <w:color w:val="auto"/>
        </w:rPr>
      </w:pPr>
    </w:p>
    <w:p>
      <w:pPr>
        <w:jc w:val="both"/>
        <w:ind w:left="40" w:firstLine="644"/>
        <w:spacing w:after="0" w:line="302" w:lineRule="auto"/>
        <w:tabs>
          <w:tab w:leader="none" w:pos="14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LIBOR Rate Loan, the rate of interest per annum determined on the basis of the rate for deposits in Dollars for a period equal to the applicable Interest Period which appears on Reuters Screen LIBOR01 Page (or any applicable successor page) at approximately 11:00 a.m. (London time) two (2) London Banking Days prior to the first day of the applicable Interest Period. If, for any reason, such rate does not appear on Reuters Screen LIBOR01 Page (or any applicable successor page), then “LIBOR” shall be determined by the Administrative Agent to be the arithmetic average of the rate per annum at which deposits in Dollars would be offered by first class banks in the London interbank market to the Administrative Agent at approximately 11:00 a.m. (London time) two (2) London Banking Days prior to the first day of the applicable Interest Period for a period equal to such Interest Period.</w:t>
      </w:r>
    </w:p>
    <w:p>
      <w:pPr>
        <w:spacing w:after="0" w:line="189" w:lineRule="exact"/>
        <w:rPr>
          <w:rFonts w:ascii="Arial" w:cs="Arial" w:eastAsia="Arial" w:hAnsi="Arial"/>
          <w:sz w:val="18"/>
          <w:szCs w:val="18"/>
          <w:color w:val="auto"/>
        </w:rPr>
      </w:pPr>
    </w:p>
    <w:p>
      <w:pPr>
        <w:jc w:val="both"/>
        <w:ind w:firstLine="657"/>
        <w:spacing w:after="0" w:line="344" w:lineRule="auto"/>
        <w:tabs>
          <w:tab w:leader="none" w:pos="1412"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any interest rate calculation with respect to a Base Rate Loan, the rate of interest per annum determined on the basis of the rate for deposits in Dollars for an Interest Period equal to one month (commencing on the date of determination of such interest rate) which appears on the Reuters Screen LIBOR01 Page (or any applicable successor page) at approximately 11:00 a.m. (London time) on such date of determination, or, if such date is not a Business Day, then the immediately preceding Business Day. If, for any reason, such rate does not appear on Reuters Screen LIBOR01 Page (or any applicable successor page)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Each calculation by the Administrative Agent of LIBOR shall be conclusive and binding for all purposes, absent manifest error.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means a rate per annum determined by the Administrative Agent pursuant to the following formula:</w:t>
      </w:r>
    </w:p>
    <w:p>
      <w:pPr>
        <w:spacing w:after="0" w:line="239" w:lineRule="exact"/>
        <w:rPr>
          <w:sz w:val="20"/>
          <w:szCs w:val="20"/>
          <w:color w:val="auto"/>
        </w:rPr>
      </w:pPr>
    </w:p>
    <w:p>
      <w:pPr>
        <w:ind w:left="1540"/>
        <w:spacing w:after="0"/>
        <w:tabs>
          <w:tab w:leader="none" w:pos="2940" w:val="left"/>
        </w:tabs>
        <w:rPr>
          <w:sz w:val="20"/>
          <w:szCs w:val="20"/>
          <w:color w:val="auto"/>
        </w:rPr>
      </w:pPr>
      <w:r>
        <w:rPr>
          <w:rFonts w:ascii="Arial" w:cs="Arial" w:eastAsia="Arial" w:hAnsi="Arial"/>
          <w:sz w:val="18"/>
          <w:szCs w:val="18"/>
          <w:color w:val="auto"/>
        </w:rPr>
        <w:t>LIBOR Rate =</w:t>
      </w:r>
      <w:r>
        <w:rPr>
          <w:sz w:val="20"/>
          <w:szCs w:val="20"/>
          <w:color w:val="auto"/>
        </w:rPr>
        <w:tab/>
      </w:r>
      <w:r>
        <w:rPr>
          <w:rFonts w:ascii="Arial" w:cs="Arial" w:eastAsia="Arial" w:hAnsi="Arial"/>
          <w:sz w:val="17"/>
          <w:szCs w:val="17"/>
          <w:u w:val="single" w:color="auto"/>
          <w:color w:val="auto"/>
        </w:rPr>
        <w:t>LIBOR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1.00-Eurodollar Reserve Percentage</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xml:space="preserve"> means any Loan bearing interest at a rate based upon the LIBOR Rate as provided in </w:t>
      </w:r>
      <w:r>
        <w:rPr>
          <w:rFonts w:ascii="Arial" w:cs="Arial" w:eastAsia="Arial" w:hAnsi="Arial"/>
          <w:sz w:val="18"/>
          <w:szCs w:val="18"/>
          <w:u w:val="single" w:color="auto"/>
          <w:color w:val="auto"/>
        </w:rPr>
        <w:t>Section 5.1(a).</w:t>
      </w:r>
    </w:p>
    <w:p>
      <w:pPr>
        <w:spacing w:after="0" w:line="279"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30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w:t>
      </w:r>
      <w:r>
        <w:rPr>
          <w:rFonts w:ascii="Arial" w:cs="Arial" w:eastAsia="Arial" w:hAnsi="Arial"/>
          <w:sz w:val="17"/>
          <w:szCs w:val="17"/>
          <w:color w:val="auto"/>
        </w:rPr>
        <w:t xml:space="preserve">” means, as of any date of determination, the sum of amount of availability under the Revolving Credit Facility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Qualified Cash.</w:t>
      </w:r>
    </w:p>
    <w:p>
      <w:pPr>
        <w:spacing w:after="0" w:line="291"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this Agreement, each Note, the Letter of Credit Applications, the Security Documents, the Guaranty Agreement, the Fee Letters, the Management Fee Subordination Agreement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means the collective reference to the Revolving Credit Loans, the Term Loan and the Swingline Loans, and</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320" w:top="584" w:right="239" w:bottom="1440" w:gutter="0" w:footer="0" w:header="0"/>
        </w:sectPr>
      </w:pPr>
    </w:p>
    <w:bookmarkStart w:id="92" w:name="page93"/>
    <w:bookmarkEnd w:id="92"/>
    <w:p>
      <w:pPr>
        <w:ind w:left="4"/>
        <w:spacing w:after="0"/>
        <w:rPr>
          <w:sz w:val="20"/>
          <w:szCs w:val="20"/>
          <w:color w:val="auto"/>
        </w:rPr>
      </w:pPr>
      <w:r>
        <w:rPr>
          <w:rFonts w:ascii="Arial" w:cs="Arial" w:eastAsia="Arial" w:hAnsi="Arial"/>
          <w:sz w:val="18"/>
          <w:szCs w:val="18"/>
          <w:color w:val="auto"/>
        </w:rPr>
        <w:t>“Loan” means any of such Loans.</w:t>
      </w:r>
    </w:p>
    <w:p>
      <w:pPr>
        <w:spacing w:after="0" w:line="239"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Capital Expenditures”</w:t>
      </w:r>
      <w:r>
        <w:rPr>
          <w:rFonts w:ascii="Arial" w:cs="Arial" w:eastAsia="Arial" w:hAnsi="Arial"/>
          <w:sz w:val="18"/>
          <w:szCs w:val="18"/>
          <w:color w:val="auto"/>
        </w:rPr>
        <w:t xml:space="preserve"> means Capital Expenditures other than Growth Capital Expenditures.</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xml:space="preserve"> means that certain Amended and Restated Limited Liability Company Agreement dated as of May 11, 2012 among Holdings and the Borrower, as the same may have been amended prior to the date of this Agreement.</w:t>
      </w:r>
    </w:p>
    <w:p>
      <w:pPr>
        <w:spacing w:after="0" w:line="170" w:lineRule="exact"/>
        <w:rPr>
          <w:sz w:val="20"/>
          <w:szCs w:val="20"/>
          <w:color w:val="auto"/>
        </w:rPr>
      </w:pPr>
    </w:p>
    <w:p>
      <w:pPr>
        <w:jc w:val="both"/>
        <w:ind w:left="4" w:firstLine="67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Fee Subordination Agreement”</w:t>
      </w:r>
      <w:r>
        <w:rPr>
          <w:rFonts w:ascii="Arial" w:cs="Arial" w:eastAsia="Arial" w:hAnsi="Arial"/>
          <w:sz w:val="18"/>
          <w:szCs w:val="18"/>
          <w:color w:val="auto"/>
        </w:rPr>
        <w:t xml:space="preserve"> means a management fee subordination agreement, dated as of even date with this Agreement, among the Sponsor, Holdings, Borrower and Administrative Agent.</w:t>
      </w:r>
    </w:p>
    <w:p>
      <w:pPr>
        <w:spacing w:after="0" w:line="18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with respect to Holdings and its Subsidiaries, (a) a material adverse effect on the operations, business, assets, liabilities or financial condition of such Persons, taken as a whole, (b) a material impairment of the ability of any Credit Party to perform its obligations under the Loan Documents to which it is a party, or (c) a material adverse effect upon the legality, validity, binding effect or enforceability against any Credit Party of any Loan Document to which it is a party.</w:t>
      </w:r>
    </w:p>
    <w:p>
      <w:pPr>
        <w:spacing w:after="0" w:line="18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any written contract or agreement of any Credit Party or any of its Subsidiaries, the breach, non-performance, or cancellation of which could reasonably be expected to have a Material Adverse Effect.</w:t>
      </w:r>
    </w:p>
    <w:p>
      <w:pPr>
        <w:spacing w:after="0" w:line="170"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Domestic Subsidiary</w:t>
      </w:r>
      <w:r>
        <w:rPr>
          <w:rFonts w:ascii="Arial" w:cs="Arial" w:eastAsia="Arial" w:hAnsi="Arial"/>
          <w:sz w:val="16"/>
          <w:szCs w:val="16"/>
          <w:color w:val="auto"/>
        </w:rPr>
        <w:t>” shall mean any Domestic Subsidiary of Holdings that, together with its Subsidiaries, (a) generates more than 5% of Consolidated EBITDA attributable to Credit Parties (excluding the financial performance of all Foreign Subsidiaries) on a Pro Forma Basis for the four</w:t>
      </w:r>
    </w:p>
    <w:p>
      <w:pPr>
        <w:jc w:val="both"/>
        <w:ind w:left="4" w:hanging="4"/>
        <w:spacing w:after="0" w:line="252" w:lineRule="auto"/>
        <w:tabs>
          <w:tab w:leader="none" w:pos="2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fiscal quarter period most recently ended or (b) owns more than 5% of the Consolidated Assets attributable to the Credit Parties (excluding the financial performance of all Foreign Subsidiaries) as of the last day of the most recently ended fiscal quarter of the Borrower;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if at any time there are Domestic Subsidiaries which are not classified as “Material Domestic Subsidiaries” but which collectively (i) generate more than 5% of Consolidated EBITDA attributable to the Credit Parties (excluding the financial performance of all Foreign Subsidiaries) on a Pro Forma Basis or (ii) own more than 5% of the Consolidated Assets attributable to the Credit Parties (excluding the financial performance of all Foreign Subsidiaries) as of the last day of the most recently ended fiscal quarter of the Borrower, then the Borrower shall within thirty (30) days after the end of such fiscal quarter designate one or more</w:t>
      </w:r>
    </w:p>
    <w:p>
      <w:pPr>
        <w:spacing w:after="0" w:line="261" w:lineRule="exact"/>
        <w:rPr>
          <w:sz w:val="20"/>
          <w:szCs w:val="20"/>
          <w:color w:val="auto"/>
        </w:rPr>
      </w:pPr>
    </w:p>
    <w:p>
      <w:pPr>
        <w:jc w:val="both"/>
        <w:ind w:left="4"/>
        <w:spacing w:after="0" w:line="279" w:lineRule="auto"/>
        <w:rPr>
          <w:sz w:val="20"/>
          <w:szCs w:val="20"/>
          <w:color w:val="auto"/>
        </w:rPr>
      </w:pPr>
      <w:r>
        <w:rPr>
          <w:rFonts w:ascii="Arial" w:cs="Arial" w:eastAsia="Arial" w:hAnsi="Arial"/>
          <w:sz w:val="17"/>
          <w:szCs w:val="17"/>
          <w:color w:val="auto"/>
        </w:rPr>
        <w:t xml:space="preserve">of such Domestic Subsidiaries as Material Domestic Subsidiaries and cause any such Domestic Subsidiaries to comply with the provisions of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such that, after such Domestic Subsidiaries become Guarantors hereunder, the Domestic Subsidiaries that are not Guarantors shall (iii) generate 5% or less of Consolidated EBITDA attributable to the Credit Parties (excluding the financial performance of all Foreign Subsidiaries) and (iv) own 5% or less of the Consolidated Assets attributable to Credit Parties (excluding the financial performance of all Foreign Subsidiaries).</w:t>
      </w:r>
    </w:p>
    <w:p>
      <w:pPr>
        <w:spacing w:after="0" w:line="17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shall mean any Subsidiary of Holdings that, together with its Subsidiaries,</w:t>
      </w:r>
    </w:p>
    <w:p>
      <w:pPr>
        <w:spacing w:after="0" w:line="36" w:lineRule="exact"/>
        <w:rPr>
          <w:sz w:val="20"/>
          <w:szCs w:val="20"/>
          <w:color w:val="auto"/>
        </w:rPr>
      </w:pPr>
    </w:p>
    <w:p>
      <w:pPr>
        <w:ind w:left="4" w:hanging="4"/>
        <w:spacing w:after="0" w:line="324" w:lineRule="auto"/>
        <w:tabs>
          <w:tab w:leader="none" w:pos="7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generates more than 5% of Consolidated EBITDA on a Pro Forma Basis for the four (4) fiscal quarter period most recently ended or (b) owns more than 5% of the Consolidated Assets as of the last day of the most recently ended fiscal quarter of the Borrower.</w:t>
      </w:r>
    </w:p>
    <w:p>
      <w:pPr>
        <w:spacing w:after="0" w:line="143" w:lineRule="exact"/>
        <w:rPr>
          <w:sz w:val="20"/>
          <w:szCs w:val="20"/>
          <w:color w:val="auto"/>
        </w:rPr>
      </w:pPr>
    </w:p>
    <w:p>
      <w:pPr>
        <w:jc w:val="both"/>
        <w:ind w:left="4"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Tax Rate”</w:t>
      </w:r>
      <w:r>
        <w:rPr>
          <w:rFonts w:ascii="Arial" w:cs="Arial" w:eastAsia="Arial" w:hAnsi="Arial"/>
          <w:sz w:val="16"/>
          <w:szCs w:val="16"/>
          <w:color w:val="auto"/>
        </w:rPr>
        <w:t xml:space="preserve"> means the effective tax rate utilizing the (a) highest potential marginal tax rate applicable to an individual under federal law and (b) highest potential marginal tax rate applicable to an individual under the tax law of the state within the United States that has the then highest marginal tax rate (and assuming that any state taxes due are deductible for federal income tax purposes). If Parent is treated as a disregarded entity or partnership for state tax purposes but not treated as a disregarded entity or partnership for federal tax purposes for any tax period, then subclause (a) of the immediately preceding sentence will be disregarded in the calculation of the Member Tax Rate for purposes of </w:t>
      </w:r>
      <w:r>
        <w:rPr>
          <w:rFonts w:ascii="Arial" w:cs="Arial" w:eastAsia="Arial" w:hAnsi="Arial"/>
          <w:sz w:val="16"/>
          <w:szCs w:val="16"/>
          <w:u w:val="single" w:color="auto"/>
          <w:color w:val="auto"/>
        </w:rPr>
        <w:t>Section 9.6(d)(iv)</w:t>
      </w:r>
      <w:r>
        <w:rPr>
          <w:rFonts w:ascii="Arial" w:cs="Arial" w:eastAsia="Arial" w:hAnsi="Arial"/>
          <w:sz w:val="16"/>
          <w:szCs w:val="16"/>
          <w:color w:val="auto"/>
        </w:rPr>
        <w:t xml:space="preserve"> of the Agreement. If Parent is treated as a disregarded entity or partnership for federal tax purposes but is not treated as a disregarded entity or partnership for state tax purposes for any tax period, then subclause (b) of the first sentence of this definition will be disregarded in the calculation of the Member Tax Rate for purposes of </w:t>
      </w:r>
      <w:r>
        <w:rPr>
          <w:rFonts w:ascii="Arial" w:cs="Arial" w:eastAsia="Arial" w:hAnsi="Arial"/>
          <w:sz w:val="16"/>
          <w:szCs w:val="16"/>
          <w:u w:val="single" w:color="auto"/>
          <w:color w:val="auto"/>
        </w:rPr>
        <w:t>Section 9.6(d)(iv)</w:t>
      </w:r>
      <w:r>
        <w:rPr>
          <w:rFonts w:ascii="Arial" w:cs="Arial" w:eastAsia="Arial" w:hAnsi="Arial"/>
          <w:sz w:val="16"/>
          <w:szCs w:val="16"/>
          <w:color w:val="auto"/>
        </w:rPr>
        <w:t xml:space="preserve"> of the Agreement. If Parent is not treated as a disregarded entity or partnership for both federal and state tax purposes for any tax period, the Member Tax Rate for purposes of </w:t>
      </w:r>
      <w:r>
        <w:rPr>
          <w:rFonts w:ascii="Arial" w:cs="Arial" w:eastAsia="Arial" w:hAnsi="Arial"/>
          <w:sz w:val="16"/>
          <w:szCs w:val="16"/>
          <w:u w:val="single" w:color="auto"/>
          <w:color w:val="auto"/>
        </w:rPr>
        <w:t>Section 9.6(d)(iv)</w:t>
      </w:r>
      <w:r>
        <w:rPr>
          <w:rFonts w:ascii="Arial" w:cs="Arial" w:eastAsia="Arial" w:hAnsi="Arial"/>
          <w:sz w:val="16"/>
          <w:szCs w:val="16"/>
          <w:color w:val="auto"/>
        </w:rPr>
        <w:t xml:space="preserve"> of the Agreement for such tax period shall be zero.</w:t>
      </w:r>
    </w:p>
    <w:p>
      <w:pPr>
        <w:spacing w:after="0" w:line="221"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an amount equal to 102% of the sum of (i) the Fronting Exposure of the Issuing Lender with respect to Letters</w:t>
      </w:r>
    </w:p>
    <w:p>
      <w:pPr>
        <w:spacing w:after="0" w:line="19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4"/>
          </w:cols>
          <w:pgMar w:left="356" w:top="584" w:right="239" w:bottom="1440" w:gutter="0" w:footer="0" w:header="0"/>
        </w:sectPr>
      </w:pPr>
    </w:p>
    <w:bookmarkStart w:id="93" w:name="page94"/>
    <w:bookmarkEnd w:id="93"/>
    <w:p>
      <w:pPr>
        <w:jc w:val="both"/>
        <w:ind w:left="4"/>
        <w:spacing w:after="0" w:line="264" w:lineRule="auto"/>
        <w:rPr>
          <w:sz w:val="20"/>
          <w:szCs w:val="20"/>
          <w:color w:val="auto"/>
        </w:rPr>
      </w:pPr>
      <w:r>
        <w:rPr>
          <w:rFonts w:ascii="Arial" w:cs="Arial" w:eastAsia="Arial" w:hAnsi="Arial"/>
          <w:sz w:val="18"/>
          <w:szCs w:val="18"/>
          <w:color w:val="auto"/>
        </w:rPr>
        <w:t>of Credit issued and outstanding at such time and (ii) the Fronting Exposure of the Swingline Lender with respect to all Swingline Loans outstanding at such time and (b) otherwise, an amount determined by the Administrative Agent and each of the applicable Issuing Lenders that is entitled to Cash Collateral hereunder at such time in their sole discretion.</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xml:space="preserve"> means Moody’s Investors Service, Inc.</w:t>
      </w:r>
    </w:p>
    <w:p>
      <w:pPr>
        <w:spacing w:after="0" w:line="279"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xml:space="preserve"> means the collective reference to each mortgage, deed of trust or other real property security document, encumbering any real property now or hereafter owned by any Credit Party, in each case, in form and substance reasonably satisfactory to the Administrative Agent and executed by such Credit Party in favor of the Administrative Agent, for the ratable benefit of the Secured Parties, as any such document may be amended, restated, supplemented or otherwise modified from time to time.</w:t>
      </w:r>
    </w:p>
    <w:p>
      <w:pPr>
        <w:spacing w:after="0" w:line="200" w:lineRule="exact"/>
        <w:rPr>
          <w:sz w:val="20"/>
          <w:szCs w:val="20"/>
          <w:color w:val="auto"/>
        </w:rPr>
      </w:pPr>
    </w:p>
    <w:p>
      <w:pPr>
        <w:jc w:val="both"/>
        <w:ind w:left="4"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xml:space="preserve">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160"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as applicable, (a) with respect to any Asset Disposition or Insurance and Condemnation Event, the gross proceeds received in cash or Cash Equivalents by any Credit Party or any of its Subsidiaries therefrom less the sum of (i) in the case of an Asset Disposition,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reasonable and customary out-of-pocket fees and expenses incurred in connection with such transaction or event and</w:t>
      </w:r>
    </w:p>
    <w:p>
      <w:pPr>
        <w:spacing w:after="0" w:line="2" w:lineRule="exact"/>
        <w:rPr>
          <w:sz w:val="20"/>
          <w:szCs w:val="20"/>
          <w:color w:val="auto"/>
        </w:rPr>
      </w:pPr>
    </w:p>
    <w:p>
      <w:pPr>
        <w:jc w:val="both"/>
        <w:ind w:left="4" w:hanging="4"/>
        <w:spacing w:after="0" w:line="254" w:lineRule="auto"/>
        <w:tabs>
          <w:tab w:leader="none" w:pos="3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amount of, premium, if any, and interest on any Indebtedness secured by a Lien on the asset (or a portion thereof) disposed of, which Indebtedness is required to be repaid in connection with such transaction or event, and (b) with respect to any Equity Issuance or Debt Issuance, the gross cash proceeds received by any Credit Party or any of its Subsidiaries therefrom less all reasonable and customary out-of-pocket legal, underwriting and other fees and expenses incurred in connection therewith.</w:t>
      </w:r>
    </w:p>
    <w:p>
      <w:pPr>
        <w:spacing w:after="0" w:line="190" w:lineRule="exact"/>
        <w:rPr>
          <w:sz w:val="20"/>
          <w:szCs w:val="20"/>
          <w:color w:val="auto"/>
        </w:rPr>
      </w:pPr>
    </w:p>
    <w:p>
      <w:pPr>
        <w:jc w:val="both"/>
        <w:ind w:left="4"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any Lender that does not approve any consent, waiver, amendment, modification or termination that (i) requires the approval of all Lenders or all affected Lenders in accordance with the terms of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and (ii) has been approved by the Required Lenders.</w:t>
      </w:r>
    </w:p>
    <w:p>
      <w:pPr>
        <w:spacing w:after="0" w:line="17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means any Subsidiary of Holdings (other than the Borrower) that is not a Subsidiary Guarantor.</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means the collective reference to the Revolving Credit Notes, the Swingline Note and the Term Loan Notes.</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2.3(b).</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2.3(a).</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5.2.</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2.4(c).</w:t>
      </w:r>
    </w:p>
    <w:p>
      <w:pPr>
        <w:spacing w:after="0" w:line="279"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O’Charley’s Bonus Payment”</w:t>
      </w:r>
      <w:r>
        <w:rPr>
          <w:rFonts w:ascii="Arial" w:cs="Arial" w:eastAsia="Arial" w:hAnsi="Arial"/>
          <w:sz w:val="18"/>
          <w:szCs w:val="18"/>
          <w:color w:val="auto"/>
        </w:rPr>
        <w:t xml:space="preserve"> means the final O‘Charley’s Inc. synergy bonus payment that is payable by December 31, 2014, to be reflected in the period(s) designated by Borrower in an aggregate amount not to exceed $1,225,000.</w:t>
      </w:r>
    </w:p>
    <w:p>
      <w:pPr>
        <w:spacing w:after="0" w:line="170" w:lineRule="exact"/>
        <w:rPr>
          <w:sz w:val="20"/>
          <w:szCs w:val="20"/>
          <w:color w:val="auto"/>
        </w:rPr>
      </w:pPr>
    </w:p>
    <w:p>
      <w:pPr>
        <w:jc w:val="both"/>
        <w:ind w:left="4"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in each case, whether now in existence or hereafter arising: (a) the principal of and interest on (including interest accruing after the filing of any bankruptcy or similar petition) the Loans, (b) the L/C Obligations and (c) all other fees and commissions (including attorneys’ fees), charges, indebtedness, loans, liabilities, financial accommodations, obligations, covenants and duties owing by the Credit Parties and each of their respective Subsidiaries to the Lenders, any Issuing Lender or the Administrative Agent, in each case under any Loan Document, with respect to any Loan or Letter of</w:t>
      </w:r>
    </w:p>
    <w:p>
      <w:pPr>
        <w:spacing w:after="0" w:line="18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4"/>
          </w:cols>
          <w:pgMar w:left="356" w:top="638" w:right="239" w:bottom="1440" w:gutter="0" w:footer="0" w:header="0"/>
        </w:sectPr>
      </w:pPr>
    </w:p>
    <w:bookmarkStart w:id="94" w:name="page95"/>
    <w:bookmarkEnd w:id="94"/>
    <w:p>
      <w:pPr>
        <w:jc w:val="both"/>
        <w:spacing w:after="0" w:line="259" w:lineRule="auto"/>
        <w:rPr>
          <w:sz w:val="20"/>
          <w:szCs w:val="20"/>
          <w:color w:val="auto"/>
        </w:rPr>
      </w:pPr>
      <w:r>
        <w:rPr>
          <w:rFonts w:ascii="Arial" w:cs="Arial" w:eastAsia="Arial" w:hAnsi="Arial"/>
          <w:sz w:val="18"/>
          <w:szCs w:val="18"/>
          <w:color w:val="auto"/>
        </w:rPr>
        <w:t>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Subsidiary thereof of any proceeding under any Debtor Relief Laws, naming such Person as the debtor in such proceeding, regardless of whether such interest and fees are allowed claims in such proceeding.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Compliance Certificate</w:t>
      </w:r>
      <w:r>
        <w:rPr>
          <w:rFonts w:ascii="Arial" w:cs="Arial" w:eastAsia="Arial" w:hAnsi="Arial"/>
          <w:sz w:val="18"/>
          <w:szCs w:val="18"/>
          <w:color w:val="auto"/>
        </w:rPr>
        <w:t xml:space="preserve">” means a certificate of the chief financial officer or the treasurer of Holdings substantially in the form attached as </w:t>
      </w:r>
      <w:r>
        <w:rPr>
          <w:rFonts w:ascii="Arial" w:cs="Arial" w:eastAsia="Arial" w:hAnsi="Arial"/>
          <w:sz w:val="18"/>
          <w:szCs w:val="18"/>
          <w:b w:val="1"/>
          <w:bCs w:val="1"/>
          <w:i w:val="1"/>
          <w:iCs w:val="1"/>
          <w:color w:val="auto"/>
        </w:rPr>
        <w:t>Exhibit F</w:t>
      </w:r>
      <w:r>
        <w:rPr>
          <w:rFonts w:ascii="Arial" w:cs="Arial" w:eastAsia="Arial" w:hAnsi="Arial"/>
          <w:sz w:val="18"/>
          <w:szCs w:val="18"/>
          <w:color w:val="auto"/>
        </w:rPr>
        <w:t>.</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as to any Person as determined in accordance with GAAP, any lease of Property (whether real, personal or mixed) by such Person as lessee which is not a Capital Lease.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means the USA PATRIOT Act (Title III of Pub. L. 107-56 (signed into law October 26, 2001)).</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xml:space="preserve"> means any acquisition by the Borrower or any Subsidiary Guarantor in the form of the acquisition of all or substantially all of the assets, business or a line of business, or at least a majority of the outstanding Equity Interests which have the ordinary voting power for the election of directors of the board of directors (or equivalent governing body) (whether through purchase, merger or otherwise), of any other Person that is incorporated, formed or organized in the United States or Canada if each such acquisition meets all of the following requirements:</w:t>
      </w:r>
    </w:p>
    <w:p>
      <w:pPr>
        <w:spacing w:after="0" w:line="198" w:lineRule="exact"/>
        <w:rPr>
          <w:sz w:val="20"/>
          <w:szCs w:val="20"/>
          <w:color w:val="auto"/>
        </w:rPr>
      </w:pPr>
    </w:p>
    <w:p>
      <w:pPr>
        <w:jc w:val="both"/>
        <w:ind w:firstLine="644"/>
        <w:spacing w:after="0" w:line="311" w:lineRule="auto"/>
        <w:tabs>
          <w:tab w:leader="none" w:pos="13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less than five (5) Business Days prior to the proposed closing date of such acquisition (or such shorter period of time as the Administrative Agent may agree, in its sole discretion), the Borrower shall have delivered written notice of such acquisition to the Administrative Agent and the Lenders, which notice shall include the proposed closing date of such acquisition;</w:t>
      </w:r>
    </w:p>
    <w:p>
      <w:pPr>
        <w:spacing w:after="0" w:line="181" w:lineRule="exact"/>
        <w:rPr>
          <w:rFonts w:ascii="Arial" w:cs="Arial" w:eastAsia="Arial" w:hAnsi="Arial"/>
          <w:sz w:val="18"/>
          <w:szCs w:val="18"/>
          <w:color w:val="auto"/>
        </w:rPr>
      </w:pPr>
    </w:p>
    <w:p>
      <w:pPr>
        <w:ind w:left="1400" w:hanging="756"/>
        <w:spacing w:after="0"/>
        <w:tabs>
          <w:tab w:leader="none" w:pos="1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such acquisition has been approved by the board of directors (or equivalent governing body) of the Person to be acquired;</w:t>
      </w:r>
    </w:p>
    <w:p>
      <w:pPr>
        <w:spacing w:after="0" w:line="252" w:lineRule="exact"/>
        <w:rPr>
          <w:rFonts w:ascii="Arial" w:cs="Arial" w:eastAsia="Arial" w:hAnsi="Arial"/>
          <w:sz w:val="18"/>
          <w:szCs w:val="18"/>
          <w:color w:val="auto"/>
        </w:rPr>
      </w:pPr>
    </w:p>
    <w:p>
      <w:pPr>
        <w:ind w:left="1300" w:hanging="683"/>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Person or business to be acquired shall be in a Permitted Business;</w:t>
      </w:r>
    </w:p>
    <w:p>
      <w:pPr>
        <w:spacing w:after="0" w:line="252" w:lineRule="exact"/>
        <w:rPr>
          <w:rFonts w:ascii="Arial" w:cs="Arial" w:eastAsia="Arial" w:hAnsi="Arial"/>
          <w:sz w:val="18"/>
          <w:szCs w:val="18"/>
          <w:color w:val="auto"/>
        </w:rPr>
      </w:pPr>
    </w:p>
    <w:p>
      <w:pPr>
        <w:ind w:right="20" w:firstLine="644"/>
        <w:spacing w:after="0" w:line="324" w:lineRule="auto"/>
        <w:tabs>
          <w:tab w:leader="none" w:pos="13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such transaction is a merger or consolidation, the Borrower or a Subsidiary Guarantor shall be the surviving Person and no Change in Control shall have been effected thereby;</w:t>
      </w: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360" w:top="584" w:right="239" w:bottom="1440" w:gutter="0" w:footer="0" w:header="0"/>
        </w:sectPr>
      </w:pPr>
    </w:p>
    <w:bookmarkStart w:id="95" w:name="page96"/>
    <w:bookmarkEnd w:id="95"/>
    <w:p>
      <w:pPr>
        <w:ind w:left="1420" w:hanging="736"/>
        <w:spacing w:after="0"/>
        <w:tabs>
          <w:tab w:leader="none" w:pos="14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Borrower shall have delivered to the Administrative Agent all documents required to be delivered pursuant to, and in accordance</w:t>
      </w:r>
    </w:p>
    <w:p>
      <w:pPr>
        <w:spacing w:after="0" w:line="61"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8.14;</w:t>
      </w:r>
    </w:p>
    <w:p>
      <w:pPr>
        <w:spacing w:after="0" w:line="265" w:lineRule="exact"/>
        <w:rPr>
          <w:rFonts w:ascii="Arial" w:cs="Arial" w:eastAsia="Arial" w:hAnsi="Arial"/>
          <w:sz w:val="17"/>
          <w:szCs w:val="17"/>
          <w:color w:val="auto"/>
        </w:rPr>
      </w:pPr>
    </w:p>
    <w:p>
      <w:pPr>
        <w:jc w:val="both"/>
        <w:ind w:left="40" w:firstLine="644"/>
        <w:spacing w:after="0" w:line="344" w:lineRule="auto"/>
        <w:tabs>
          <w:tab w:leader="none" w:pos="1408"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no later than five (5) Business Days prior to the proposed closing date of such acquisition (or such shorter period of time as the Administrative Agent may agree, in its sole discretion), the Borrower shall have delivered to the Administrative Agent an Officer’s Compliance Certificate for the most recent fiscal quarter end preceding such acquisition for which financial statements are available demonstrating, in form and substance reasonably satisfactory to the Administrative Agent, (i) that the Borrower is in compliance on a Pro Forma Basis (as of the date of the acquisition and immediately after giving effect thereto and any Indebtedness incurred in connection therewith) with each covenant contained in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(ii) that the Total Lease Adjusted Leverage Ratio calculated on a Pro Forma Basis (as of the proposed closing date of the acquisition and immediately after giving effect thereto and any Indebtedness incurred in connection therewith) shall be at least 0.25 below the applicable ratio set forth in </w:t>
      </w:r>
      <w:r>
        <w:rPr>
          <w:rFonts w:ascii="Arial" w:cs="Arial" w:eastAsia="Arial" w:hAnsi="Arial"/>
          <w:sz w:val="16"/>
          <w:szCs w:val="16"/>
          <w:u w:val="single" w:color="auto"/>
          <w:color w:val="auto"/>
        </w:rPr>
        <w:t>Section 9.14(a);</w:t>
      </w:r>
    </w:p>
    <w:p>
      <w:pPr>
        <w:spacing w:after="0" w:line="166" w:lineRule="exact"/>
        <w:rPr>
          <w:rFonts w:ascii="Arial" w:cs="Arial" w:eastAsia="Arial" w:hAnsi="Arial"/>
          <w:sz w:val="16"/>
          <w:szCs w:val="16"/>
          <w:color w:val="auto"/>
        </w:rPr>
      </w:pPr>
    </w:p>
    <w:p>
      <w:pPr>
        <w:jc w:val="both"/>
        <w:ind w:left="40" w:firstLine="644"/>
        <w:spacing w:after="0" w:line="306" w:lineRule="auto"/>
        <w:tabs>
          <w:tab w:leader="none" w:pos="14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later than five (5) Business Days prior to the proposed closing date of such acquisition (or such shorter period of time as the Administrative Agent may agree, in its sole discretion) the Borrower, to the extent requested by the Administrative Agent, (i) shall have delivered to the Administrative Agent copies of substantially final Permitted Acquisition Documents, and (ii) shall have delivered to, or made available for inspection by, the Administrative Agent substantially complete Permitted Acquisition Diligence Information;</w:t>
      </w:r>
    </w:p>
    <w:p>
      <w:pPr>
        <w:spacing w:after="0" w:line="186" w:lineRule="exact"/>
        <w:rPr>
          <w:rFonts w:ascii="Arial" w:cs="Arial" w:eastAsia="Arial" w:hAnsi="Arial"/>
          <w:sz w:val="18"/>
          <w:szCs w:val="18"/>
          <w:color w:val="auto"/>
        </w:rPr>
      </w:pPr>
    </w:p>
    <w:p>
      <w:pPr>
        <w:ind w:left="40" w:firstLine="644"/>
        <w:spacing w:after="0" w:line="324" w:lineRule="auto"/>
        <w:tabs>
          <w:tab w:leader="none" w:pos="14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both before and after giving effect to such acquisition and any Indebtedness incurred in connection therewith;</w:t>
      </w:r>
    </w:p>
    <w:p>
      <w:pPr>
        <w:spacing w:after="0" w:line="183" w:lineRule="exact"/>
        <w:rPr>
          <w:rFonts w:ascii="Arial" w:cs="Arial" w:eastAsia="Arial" w:hAnsi="Arial"/>
          <w:sz w:val="18"/>
          <w:szCs w:val="18"/>
          <w:color w:val="auto"/>
        </w:rPr>
      </w:pPr>
    </w:p>
    <w:p>
      <w:pPr>
        <w:jc w:val="both"/>
        <w:ind w:firstLine="657"/>
        <w:spacing w:after="0" w:line="336" w:lineRule="auto"/>
        <w:tabs>
          <w:tab w:leader="none" w:pos="137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assets being acquired or the Person whose Equity Interests are being acquired did not have negative earnings before interest, taxes, depreciation and amortization (adjusted on a Pro Forma Basis; such adjustments to be mutually and reasonably agreed upon by Holdings and the Administrative Agent) during the four (4) consecutive fiscal quarter period most recently concluded prior to the date of the proposed acquisition;</w:t>
      </w:r>
    </w:p>
    <w:p>
      <w:pPr>
        <w:spacing w:after="0" w:line="137" w:lineRule="exact"/>
        <w:rPr>
          <w:rFonts w:ascii="Arial" w:cs="Arial" w:eastAsia="Arial" w:hAnsi="Arial"/>
          <w:sz w:val="17"/>
          <w:szCs w:val="17"/>
          <w:color w:val="auto"/>
        </w:rPr>
      </w:pPr>
    </w:p>
    <w:p>
      <w:pPr>
        <w:ind w:left="1340" w:hanging="683"/>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giving effect to the acquisition, Liquidity shall be at least $25,000,000; and</w:t>
      </w:r>
    </w:p>
    <w:p>
      <w:pPr>
        <w:spacing w:after="0" w:line="265" w:lineRule="exact"/>
        <w:rPr>
          <w:rFonts w:ascii="Arial" w:cs="Arial" w:eastAsia="Arial" w:hAnsi="Arial"/>
          <w:sz w:val="18"/>
          <w:szCs w:val="18"/>
          <w:color w:val="auto"/>
        </w:rPr>
      </w:pPr>
    </w:p>
    <w:p>
      <w:pPr>
        <w:jc w:val="both"/>
        <w:ind w:left="40" w:firstLine="644"/>
        <w:spacing w:after="0" w:line="306" w:lineRule="auto"/>
        <w:tabs>
          <w:tab w:leader="none" w:pos="1438"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Borrower shall have (i) delivered to the Administrative Agent a certificate of a Responsible Officer certifying that all of the requirements set forth above have been satisfied or will be satisfied on or prior to the consummation of such purchase or other acquisition and (ii) provided such other documents and other information as may be reasonably requested by the Administrative Agent or the Required Lenders (through the Administrative Agent) in connection with such purchase or other acquisition.</w:t>
      </w:r>
    </w:p>
    <w:p>
      <w:pPr>
        <w:spacing w:after="0" w:line="173"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Diligence Information”</w:t>
      </w:r>
      <w:r>
        <w:rPr>
          <w:rFonts w:ascii="Arial" w:cs="Arial" w:eastAsia="Arial" w:hAnsi="Arial"/>
          <w:sz w:val="18"/>
          <w:szCs w:val="18"/>
          <w:color w:val="auto"/>
        </w:rPr>
        <w:t xml:space="preserve"> means with respect to any acquisition proposed by the Borrower or any Subsidiary Guarantor, to the extent applicable, all material financial information (including projections), copies of all material contracts,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88" w:lineRule="exact"/>
        <w:rPr>
          <w:sz w:val="20"/>
          <w:szCs w:val="20"/>
          <w:color w:val="auto"/>
        </w:rPr>
      </w:pPr>
    </w:p>
    <w:p>
      <w:pPr>
        <w:jc w:val="both"/>
        <w:ind w:lef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 Documents”</w:t>
      </w:r>
      <w:r>
        <w:rPr>
          <w:rFonts w:ascii="Arial" w:cs="Arial" w:eastAsia="Arial" w:hAnsi="Arial"/>
          <w:sz w:val="17"/>
          <w:szCs w:val="17"/>
          <w:color w:val="auto"/>
        </w:rPr>
        <w:t xml:space="preserve"> means with respect to any acquisition proposed by the Borrower or any Subsidiary Guarantor, final copies or substantially final drafts if not executed at the required time of delivery of the purchase agreement, sale agreement, merger agreement or other agreement evidencing such acquisition, including, without limitation, any legal opinions and each other material document executed, delivered, contemplated by or prepared in connection therewith and any amendment, modification or supplement to any of the foregoing.</w:t>
      </w:r>
    </w:p>
    <w:p>
      <w:pPr>
        <w:spacing w:after="0" w:line="171"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Business”</w:t>
      </w:r>
      <w:r>
        <w:rPr>
          <w:rFonts w:ascii="Arial" w:cs="Arial" w:eastAsia="Arial" w:hAnsi="Arial"/>
          <w:sz w:val="18"/>
          <w:szCs w:val="18"/>
          <w:color w:val="auto"/>
        </w:rPr>
        <w:t xml:space="preserve"> means full service, family, casual and other dining establishments, commercial bakery facilities, and any business activities reasonably related or ancillary to any of the foregoing or that are reasonable extensions thereof.</w:t>
      </w:r>
    </w:p>
    <w:p>
      <w:pPr>
        <w:spacing w:after="0" w:line="170"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Exclusive License”</w:t>
      </w:r>
      <w:r>
        <w:rPr>
          <w:rFonts w:ascii="Arial" w:cs="Arial" w:eastAsia="Arial" w:hAnsi="Arial"/>
          <w:sz w:val="18"/>
          <w:szCs w:val="18"/>
          <w:color w:val="auto"/>
        </w:rPr>
        <w:t xml:space="preserve"> means a licensing arrangement entered into by Holdings or any of its Subsidiaries, in the ordinary course of business and on commercially reasonable terms (but that would not result in a legal or effective transfer of Holdings’ or such Subsidiary’s title, as applicable, in the licensed trademarks), pursuant to which the licensee is granted the exclusive right with limited duration with a commercially reasonable term to use one or more of the licensor’s trademarks to manufacture, distribute, market, promote, offer for sale, sell, use, or otherwise exploit the trademarks in connection with food products, merchandise or other goods.</w:t>
      </w: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611" w:right="239" w:bottom="1440" w:gutter="0" w:footer="0" w:header="0"/>
        </w:sectPr>
      </w:pPr>
    </w:p>
    <w:bookmarkStart w:id="96" w:name="page97"/>
    <w:bookmarkEnd w:id="96"/>
    <w:p>
      <w:pPr>
        <w:jc w:val="both"/>
        <w:ind w:left="4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Investors”</w:t>
      </w:r>
      <w:r>
        <w:rPr>
          <w:rFonts w:ascii="Arial" w:cs="Arial" w:eastAsia="Arial" w:hAnsi="Arial"/>
          <w:sz w:val="18"/>
          <w:szCs w:val="18"/>
          <w:color w:val="auto"/>
        </w:rPr>
        <w:t xml:space="preserve"> means, collectively, the Sponsor and any fund or other Person Controlled directly or indirectly by Sponsor or any of its Affiliates (other than portfolio companies).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the Liens permitted pursuant to </w:t>
      </w:r>
      <w:r>
        <w:rPr>
          <w:rFonts w:ascii="Arial" w:cs="Arial" w:eastAsia="Arial" w:hAnsi="Arial"/>
          <w:sz w:val="18"/>
          <w:szCs w:val="18"/>
          <w:u w:val="single" w:color="auto"/>
          <w:color w:val="auto"/>
        </w:rPr>
        <w:t>Section 9.2.</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Management Fees”</w:t>
      </w:r>
      <w:r>
        <w:rPr>
          <w:rFonts w:ascii="Arial" w:cs="Arial" w:eastAsia="Arial" w:hAnsi="Arial"/>
          <w:sz w:val="18"/>
          <w:szCs w:val="18"/>
          <w:color w:val="auto"/>
        </w:rPr>
        <w:t xml:space="preserve"> means management fees permitted pursuant to </w:t>
      </w:r>
      <w:r>
        <w:rPr>
          <w:rFonts w:ascii="Arial" w:cs="Arial" w:eastAsia="Arial" w:hAnsi="Arial"/>
          <w:sz w:val="18"/>
          <w:szCs w:val="18"/>
          <w:u w:val="single" w:color="auto"/>
          <w:color w:val="auto"/>
        </w:rPr>
        <w:t>Section 9.6(d)(iii)</w:t>
      </w:r>
      <w:r>
        <w:rPr>
          <w:rFonts w:ascii="Arial" w:cs="Arial" w:eastAsia="Arial" w:hAnsi="Arial"/>
          <w:sz w:val="18"/>
          <w:szCs w:val="18"/>
          <w:color w:val="auto"/>
        </w:rPr>
        <w:t xml:space="preserve"> of this Agreement.</w:t>
      </w:r>
    </w:p>
    <w:p>
      <w:pPr>
        <w:spacing w:after="0" w:line="239"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lef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Equity Agreement”</w:t>
      </w:r>
      <w:r>
        <w:rPr>
          <w:rFonts w:ascii="Arial" w:cs="Arial" w:eastAsia="Arial" w:hAnsi="Arial"/>
          <w:sz w:val="18"/>
          <w:szCs w:val="18"/>
          <w:color w:val="auto"/>
        </w:rPr>
        <w:t xml:space="preserve"> means that certain letter agreement dated June 1, 2010 between Holdings and Hazem Ouf (as amended by that certain First Amendment dated as of August 5, 2014 and modified by the Termination Agreement), as in effect on the Closing Date pursuant to which certain phantom equity interests in Holdings were granted by Holdings to Hazem Ouf.</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p>
    <w:p>
      <w:pPr>
        <w:spacing w:after="0" w:line="279" w:lineRule="exact"/>
        <w:rPr>
          <w:sz w:val="20"/>
          <w:szCs w:val="20"/>
          <w:color w:val="auto"/>
        </w:rPr>
      </w:pPr>
    </w:p>
    <w:p>
      <w:pPr>
        <w:jc w:val="both"/>
        <w:ind w:lef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Pre-Opening Costs”</w:t>
      </w:r>
      <w:r>
        <w:rPr>
          <w:rFonts w:ascii="Arial" w:cs="Arial" w:eastAsia="Arial" w:hAnsi="Arial"/>
          <w:sz w:val="16"/>
          <w:szCs w:val="16"/>
          <w:color w:val="auto"/>
        </w:rPr>
        <w:t xml:space="preserve"> means “start-up costs” (such term used herein as defined in SOP 98-5 published by the American Institute of Certified Public Accountants) related to the acquisition, opening and organizing of new or remodeled restaurants, including, without limitation, the cost of feasibility studies, staff-training, recruiting, travel costs for employees engaged in such start-up activities, advertising and rent accrued prior to opening.</w:t>
      </w:r>
    </w:p>
    <w:p>
      <w:pPr>
        <w:spacing w:after="0" w:line="147"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7"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 Interest Program</w:t>
      </w:r>
      <w:r>
        <w:rPr>
          <w:rFonts w:ascii="Arial" w:cs="Arial" w:eastAsia="Arial" w:hAnsi="Arial"/>
          <w:sz w:val="18"/>
          <w:szCs w:val="18"/>
          <w:color w:val="auto"/>
        </w:rPr>
        <w:t xml:space="preserve">” means an equity incentive plan pursuant to which Holdings shall issue profits interests to management and certain other Persons, as more particularly described in </w:t>
      </w:r>
      <w:r>
        <w:rPr>
          <w:rFonts w:ascii="Arial" w:cs="Arial" w:eastAsia="Arial" w:hAnsi="Arial"/>
          <w:sz w:val="18"/>
          <w:szCs w:val="18"/>
          <w:u w:val="single" w:color="auto"/>
          <w:color w:val="auto"/>
        </w:rPr>
        <w:t>Schedule 13</w:t>
      </w:r>
      <w:r>
        <w:rPr>
          <w:rFonts w:ascii="Arial" w:cs="Arial" w:eastAsia="Arial" w:hAnsi="Arial"/>
          <w:sz w:val="18"/>
          <w:szCs w:val="18"/>
          <w:color w:val="auto"/>
        </w:rPr>
        <w:t xml:space="preserve"> to the Disclosure Letter.</w:t>
      </w:r>
    </w:p>
    <w:p>
      <w:pPr>
        <w:spacing w:after="0" w:line="238" w:lineRule="exact"/>
        <w:rPr>
          <w:sz w:val="20"/>
          <w:szCs w:val="20"/>
          <w:color w:val="auto"/>
        </w:rPr>
      </w:pPr>
    </w:p>
    <w:p>
      <w:pPr>
        <w:jc w:val="both"/>
        <w:ind w:firstLine="67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for purposes of calculating Consolidated EBITDA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w:t>
      </w:r>
    </w:p>
    <w:p>
      <w:pPr>
        <w:spacing w:after="0" w:line="222" w:lineRule="exact"/>
        <w:rPr>
          <w:sz w:val="20"/>
          <w:szCs w:val="20"/>
          <w:color w:val="auto"/>
        </w:rPr>
      </w:pPr>
    </w:p>
    <w:p>
      <w:pPr>
        <w:jc w:val="both"/>
        <w:ind w:firstLine="657"/>
        <w:spacing w:after="0" w:line="354" w:lineRule="auto"/>
        <w:tabs>
          <w:tab w:leader="none" w:pos="14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and</w:t>
      </w:r>
    </w:p>
    <w:p>
      <w:pPr>
        <w:spacing w:after="0" w:line="156" w:lineRule="exact"/>
        <w:rPr>
          <w:rFonts w:ascii="Arial" w:cs="Arial" w:eastAsia="Arial" w:hAnsi="Arial"/>
          <w:sz w:val="16"/>
          <w:szCs w:val="16"/>
          <w:color w:val="auto"/>
        </w:rPr>
      </w:pPr>
    </w:p>
    <w:p>
      <w:pPr>
        <w:ind w:firstLine="657"/>
        <w:spacing w:after="0" w:line="324" w:lineRule="auto"/>
        <w:tabs>
          <w:tab w:leader="none" w:pos="14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non-recurring costs, extraordinary expenses and other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adjustments attributable to such Specified Transaction may be included to the extent that such costs, expenses or adjustments:</w:t>
      </w:r>
    </w:p>
    <w:p>
      <w:pPr>
        <w:spacing w:after="0" w:line="183" w:lineRule="exact"/>
        <w:rPr>
          <w:rFonts w:ascii="Arial" w:cs="Arial" w:eastAsia="Arial" w:hAnsi="Arial"/>
          <w:sz w:val="18"/>
          <w:szCs w:val="18"/>
          <w:color w:val="auto"/>
        </w:rPr>
      </w:pPr>
    </w:p>
    <w:p>
      <w:pPr>
        <w:ind w:left="660" w:firstLine="646"/>
        <w:spacing w:after="0" w:line="324" w:lineRule="auto"/>
        <w:tabs>
          <w:tab w:leader="none" w:pos="20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are reasonably expected to be realized within twelve (12) months of such Specified Transaction as set forth in reasonable detail on a certificate of a Responsible Officer delivered to the Administrative Agent;</w:t>
      </w:r>
    </w:p>
    <w:p>
      <w:pPr>
        <w:spacing w:after="0" w:line="170" w:lineRule="exact"/>
        <w:rPr>
          <w:rFonts w:ascii="Arial" w:cs="Arial" w:eastAsia="Arial" w:hAnsi="Arial"/>
          <w:sz w:val="18"/>
          <w:szCs w:val="18"/>
          <w:color w:val="auto"/>
        </w:rPr>
      </w:pPr>
    </w:p>
    <w:p>
      <w:pPr>
        <w:ind w:left="660" w:firstLine="646"/>
        <w:spacing w:after="0" w:line="357" w:lineRule="auto"/>
        <w:tabs>
          <w:tab w:leader="none" w:pos="2082" w:val="left"/>
        </w:tabs>
        <w:numPr>
          <w:ilvl w:val="1"/>
          <w:numId w:val="53"/>
        </w:numPr>
        <w:rPr>
          <w:rFonts w:ascii="Arial" w:cs="Arial" w:eastAsia="Arial" w:hAnsi="Arial"/>
          <w:sz w:val="17"/>
          <w:szCs w:val="17"/>
          <w:color w:val="auto"/>
        </w:rPr>
      </w:pPr>
      <w:r>
        <w:rPr>
          <w:rFonts w:ascii="Arial" w:cs="Arial" w:eastAsia="Arial" w:hAnsi="Arial"/>
          <w:sz w:val="17"/>
          <w:szCs w:val="17"/>
          <w:color w:val="auto"/>
        </w:rPr>
        <w:t>are calculated on a basis consistent with GAAP and Regulation S-X of the Exchange Act are, in each case, reasonably identifiable, factually supportable, and expected to have a continuing impact on the operations of Holdings and its Subsidiaries; or</w:t>
      </w:r>
    </w:p>
    <w:p>
      <w:pPr>
        <w:spacing w:after="0" w:line="121" w:lineRule="exact"/>
        <w:rPr>
          <w:sz w:val="20"/>
          <w:szCs w:val="20"/>
          <w:color w:val="auto"/>
        </w:rPr>
      </w:pPr>
    </w:p>
    <w:p>
      <w:pPr>
        <w:ind w:left="1960" w:hanging="614"/>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are approved by the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costs, expenses and adjustments shall be without duplication of any costs, expenses or adjustments that are already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Consolidated EBITDA or clause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above.</w:t>
      </w: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320" w:top="584" w:right="239" w:bottom="1440" w:gutter="0" w:footer="0" w:header="0"/>
        </w:sectPr>
      </w:pPr>
    </w:p>
    <w:bookmarkStart w:id="97" w:name="page98"/>
    <w:bookmarkEnd w:id="9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Equity Interests.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Cash”</w:t>
      </w:r>
      <w:r>
        <w:rPr>
          <w:rFonts w:ascii="Arial" w:cs="Arial" w:eastAsia="Arial" w:hAnsi="Arial"/>
          <w:sz w:val="18"/>
          <w:szCs w:val="18"/>
          <w:color w:val="auto"/>
        </w:rPr>
        <w:t xml:space="preserve"> means, as of any date of determination, the amount of unrestricted cash, Cash Equivalents, and credit and debit card receivables of Holdings and its Subsidiaries maintained in deposit accounts in any financial institutions located within the United States.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xml:space="preserve"> means any Equity Interests that are not Disqualified Equity Interests.</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xml:space="preserve"> means (a) the Administrative Agent, (b) any Lender and (c) any Issuing Lender, as applicable.</w:t>
      </w:r>
    </w:p>
    <w:p>
      <w:pPr>
        <w:spacing w:after="0" w:line="23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Refranchising Sale”</w:t>
      </w:r>
      <w:r>
        <w:rPr>
          <w:rFonts w:ascii="Arial" w:cs="Arial" w:eastAsia="Arial" w:hAnsi="Arial"/>
          <w:sz w:val="18"/>
          <w:szCs w:val="18"/>
          <w:color w:val="auto"/>
        </w:rPr>
        <w:t xml:space="preserve"> means any sale by Holdings or any of its Subsidiaries of a Restaurant operated by Holdings or its Subsidiaries to either an existing or new franchisee.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12.9(c).</w:t>
      </w:r>
    </w:p>
    <w:p>
      <w:pPr>
        <w:spacing w:after="0" w:line="2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means the obligation of the Borrower to reimburse any Issuing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for amounts drawn under Letters of Credit issued by such Issuing Lender.</w:t>
      </w:r>
    </w:p>
    <w:p>
      <w:pPr>
        <w:spacing w:after="0" w:line="238"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xml:space="preserve"> means, with respect to any Person, such Person’s Affiliates and the partners, directors, officers, employees, agents, trustees, administrators, managers, advisors and representatives of such Person and of such Person’s Affiliates.</w:t>
      </w:r>
    </w:p>
    <w:p>
      <w:pPr>
        <w:spacing w:after="0" w:line="184" w:lineRule="exact"/>
        <w:rPr>
          <w:sz w:val="20"/>
          <w:szCs w:val="20"/>
          <w:color w:val="auto"/>
        </w:rPr>
      </w:pPr>
    </w:p>
    <w:p>
      <w:pPr>
        <w:jc w:val="both"/>
        <w:ind w:lef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Rental Expense”</w:t>
      </w:r>
      <w:r>
        <w:rPr>
          <w:rFonts w:ascii="Arial" w:cs="Arial" w:eastAsia="Arial" w:hAnsi="Arial"/>
          <w:sz w:val="17"/>
          <w:szCs w:val="17"/>
          <w:color w:val="auto"/>
        </w:rPr>
        <w:t xml:space="preserve"> means, with respect to Holdings and its Subsidiaries for any period, all rental expenses with respect to long-term real property leases and operating leases of Holdings and its Subsidiaries for such period, determined on a consolidated basis in accordance with GAAP. For the purposes of calculating Rental Expense for any period of consecutive 13 Fiscal Periods (each, a “</w:t>
      </w:r>
      <w:r>
        <w:rPr>
          <w:rFonts w:ascii="Arial" w:cs="Arial" w:eastAsia="Arial" w:hAnsi="Arial"/>
          <w:sz w:val="17"/>
          <w:szCs w:val="17"/>
          <w:u w:val="single" w:color="auto"/>
          <w:color w:val="auto"/>
        </w:rPr>
        <w:t>Reference Period”</w:t>
      </w:r>
      <w:r>
        <w:rPr>
          <w:rFonts w:ascii="Arial" w:cs="Arial" w:eastAsia="Arial" w:hAnsi="Arial"/>
          <w:sz w:val="17"/>
          <w:szCs w:val="17"/>
          <w:color w:val="auto"/>
        </w:rPr>
        <w:t xml:space="preserve">), if at any time during such Reference Period (and after the Closing Date), Holdings or any of its Subsidiaries shall have made a Permitted Acquisition or an Asset Disposition permitted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9.5,</w:t>
      </w:r>
      <w:r>
        <w:rPr>
          <w:rFonts w:ascii="Arial" w:cs="Arial" w:eastAsia="Arial" w:hAnsi="Arial"/>
          <w:sz w:val="17"/>
          <w:szCs w:val="17"/>
          <w:color w:val="auto"/>
        </w:rPr>
        <w:t xml:space="preserve"> Rental Expense for such Reference Period shall be calculated after giving pro forma effect thereto (including pro forma adjustments arising out of events which are directly attributable to such Permitted Acquisition or such Asset Disposition, as applicable, are factually supportable, and are expected to have a continuing impact, in each case to be mutually and reasonably agreed upon by Holdings and the Administrative Agent) or in such other manner reasonably acceptable to the Administrative Agent as if any such Permitted Acquisition, Asset Disposition, or adjustment occurred on the first day of such Reference Period.</w:t>
      </w:r>
    </w:p>
    <w:p>
      <w:pPr>
        <w:spacing w:after="0" w:line="195" w:lineRule="exact"/>
        <w:rPr>
          <w:sz w:val="20"/>
          <w:szCs w:val="20"/>
          <w:color w:val="auto"/>
        </w:rPr>
      </w:pPr>
    </w:p>
    <w:p>
      <w:pPr>
        <w:jc w:val="both"/>
        <w:ind w:lef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Total Credit Exposures representing more than fifty percent (50)% of the Total Credit Exposures of all Lenders. The Total Credit Exposure of any Defaulting Lender shall be disregarded in determining Required Lenders at any time.</w:t>
      </w:r>
    </w:p>
    <w:p>
      <w:pPr>
        <w:spacing w:after="0" w:line="160" w:lineRule="exact"/>
        <w:rPr>
          <w:sz w:val="20"/>
          <w:szCs w:val="20"/>
          <w:color w:val="auto"/>
        </w:rPr>
      </w:pPr>
    </w:p>
    <w:p>
      <w:pPr>
        <w:jc w:val="both"/>
        <w:ind w:lef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Revolving Credit Lenders”</w:t>
      </w:r>
      <w:r>
        <w:rPr>
          <w:rFonts w:ascii="Arial" w:cs="Arial" w:eastAsia="Arial" w:hAnsi="Arial"/>
          <w:sz w:val="16"/>
          <w:szCs w:val="16"/>
          <w:color w:val="auto"/>
        </w:rPr>
        <w:t xml:space="preserve"> means, at any date, any combination of Revolving Credit Lenders holding more than fifty percent (50%) of the sum of the aggregate amount of the Revolving Credit Commitment or, if the Revolving Credit Commitment has been terminated, any combination of Revolving Credit Lenders holding more than fifty percent (50%) of the aggregate Extensions of Credit under the Revolving Credit Facility; provided that the 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172" w:lineRule="exact"/>
        <w:rPr>
          <w:sz w:val="20"/>
          <w:szCs w:val="20"/>
          <w:color w:val="auto"/>
        </w:rPr>
      </w:pPr>
    </w:p>
    <w:p>
      <w:pPr>
        <w:jc w:val="both"/>
        <w:ind w:lef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as to any Person, the chief executive officer, president, chief financial officer, controller, treasurer or assistant treasurer of such Person or any other officer of such Person designated in writing by the Borrower and reasonably acceptable to the Administrative Agent.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 Unless and except to the extent expressly stated to the contrary herein in a particular context, “Responsible Officer” means a Responsible Officer of Borrower.</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Restaurant”</w:t>
      </w:r>
      <w:r>
        <w:rPr>
          <w:rFonts w:ascii="Arial" w:cs="Arial" w:eastAsia="Arial" w:hAnsi="Arial"/>
          <w:sz w:val="18"/>
          <w:szCs w:val="18"/>
          <w:color w:val="auto"/>
        </w:rPr>
        <w:t xml:space="preserve"> means a full service restaurant owned or leased and operated by Borrower or one of its Subsidiaries.</w:t>
      </w:r>
    </w:p>
    <w:p>
      <w:pPr>
        <w:spacing w:after="0" w:line="200" w:lineRule="exact"/>
        <w:rPr>
          <w:sz w:val="20"/>
          <w:szCs w:val="20"/>
          <w:color w:val="auto"/>
        </w:rPr>
      </w:pPr>
    </w:p>
    <w:p>
      <w:pPr>
        <w:spacing w:after="0" w:line="2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320" w:top="584" w:right="239" w:bottom="1440" w:gutter="0" w:footer="0" w:header="0"/>
        </w:sectPr>
      </w:pPr>
    </w:p>
    <w:bookmarkStart w:id="98" w:name="page99"/>
    <w:bookmarkEnd w:id="9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9.6.</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Program</w:t>
      </w:r>
      <w:r>
        <w:rPr>
          <w:rFonts w:ascii="Arial" w:cs="Arial" w:eastAsia="Arial" w:hAnsi="Arial"/>
          <w:sz w:val="18"/>
          <w:szCs w:val="18"/>
          <w:color w:val="auto"/>
        </w:rPr>
        <w:t>” means the issuance by Parent of its membership interest units to certain of its directors, officers and employees on a restricted basis pursuant to the omnibus equity incentive plan of Parent as in effect on the Closing Date.</w:t>
      </w:r>
    </w:p>
    <w:p>
      <w:pPr>
        <w:spacing w:after="0" w:line="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Commitment”</w:t>
      </w:r>
      <w:r>
        <w:rPr>
          <w:rFonts w:ascii="Arial" w:cs="Arial" w:eastAsia="Arial" w:hAnsi="Arial"/>
          <w:sz w:val="17"/>
          <w:szCs w:val="17"/>
          <w:color w:val="auto"/>
        </w:rPr>
        <w:t xml:space="preserve"> means (a) as to any Revolving Credit Lender, the obligation of such Revolving Credit Lender to make Revolving Credit Loans to, and to purchase participations in L/C Obligations and Swingline Loans for the account of, the Borrower hereunder in an aggregate principal amount at any time outstanding not to exceed the amount set forth opposite such Revolving Credit Lender’s name on the Register, as such amount may be modified at any time or from time to time pursuant to the terms hereof (including, without limitation,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and (b) as to all Revolving Credit Lenders, the aggregate commitment of all Revolving Credit Lenders to make Revolving Credit Loans, as such amount may be modified at any time or from time to time pursuant to the terms hereof (including, without limitation,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The aggregate Revolving Credit Commitment of all the Revolving Credit Lenders on the Closing Date shall be One Hundred Million Dollars ($100,000,000). The initial Revolving Credit Commitment of each Revolving Credit Lender is set forth opposite the name of such Lender on </w:t>
      </w:r>
      <w:r>
        <w:rPr>
          <w:rFonts w:ascii="Arial" w:cs="Arial" w:eastAsia="Arial" w:hAnsi="Arial"/>
          <w:sz w:val="17"/>
          <w:szCs w:val="17"/>
          <w:u w:val="single" w:color="auto"/>
          <w:color w:val="auto"/>
        </w:rPr>
        <w:t>Schedule 1.1(b).</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of each Revolving Credit Lender is set forth opposite the name of such Lender on </w:t>
      </w:r>
      <w:r>
        <w:rPr>
          <w:rFonts w:ascii="Arial" w:cs="Arial" w:eastAsia="Arial" w:hAnsi="Arial"/>
          <w:sz w:val="18"/>
          <w:szCs w:val="18"/>
          <w:u w:val="single" w:color="auto"/>
          <w:color w:val="auto"/>
        </w:rPr>
        <w:t>Schedule 1.1(b).</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xml:space="preserve"> means, as to any Revolving Credit Lender at any time, the aggregate principal amount at such time of its outstanding Revolving Credit Loans and such Revolving Credit Lender’s participation in L/C Obligations and Swingline Loans at such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the revolving credit facility established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(including any increase in such revolving credit facility established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xml:space="preserve"> means, collectively, all of the Lenders with a Revolving Credit Commitment.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means any revolving credit loan made to the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all such revolving credit loans collectively as the context requires.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Maturity Date”</w:t>
      </w:r>
      <w:r>
        <w:rPr>
          <w:rFonts w:ascii="Arial" w:cs="Arial" w:eastAsia="Arial" w:hAnsi="Arial"/>
          <w:sz w:val="18"/>
          <w:szCs w:val="18"/>
          <w:color w:val="auto"/>
        </w:rPr>
        <w:t xml:space="preserve"> means the earliest to occur of (a) the fifth anniversary of the Closing Date, (b) the date of termination of the entire Revolving Credit Commitment by the Borrower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(c) the date of termination of the Revolving Credit Commitment pursuant to </w:t>
      </w:r>
      <w:r>
        <w:rPr>
          <w:rFonts w:ascii="Arial" w:cs="Arial" w:eastAsia="Arial" w:hAnsi="Arial"/>
          <w:sz w:val="18"/>
          <w:szCs w:val="18"/>
          <w:u w:val="single" w:color="auto"/>
          <w:color w:val="auto"/>
        </w:rPr>
        <w:t>Section 10.2(a).</w:t>
      </w:r>
    </w:p>
    <w:p>
      <w:pPr>
        <w:spacing w:after="0" w:line="235" w:lineRule="exact"/>
        <w:rPr>
          <w:sz w:val="20"/>
          <w:szCs w:val="20"/>
          <w:color w:val="auto"/>
        </w:rPr>
      </w:pPr>
    </w:p>
    <w:p>
      <w:pPr>
        <w:jc w:val="both"/>
        <w:ind w:firstLine="67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 in favor of a Revolving Credit Lender evidencing the Revolving Credit Loans made by such Revolving Credit Lender, substantially in the form attached as </w:t>
      </w:r>
      <w:r>
        <w:rPr>
          <w:rFonts w:ascii="Arial" w:cs="Arial" w:eastAsia="Arial" w:hAnsi="Arial"/>
          <w:sz w:val="18"/>
          <w:szCs w:val="18"/>
          <w:b w:val="1"/>
          <w:bCs w:val="1"/>
          <w:i w:val="1"/>
          <w:iCs w:val="1"/>
          <w:color w:val="auto"/>
        </w:rPr>
        <w:t>Exhibit A-1</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Outstandings”</w:t>
      </w:r>
      <w:r>
        <w:rPr>
          <w:rFonts w:ascii="Arial" w:cs="Arial" w:eastAsia="Arial" w:hAnsi="Arial"/>
          <w:sz w:val="16"/>
          <w:szCs w:val="16"/>
          <w:color w:val="auto"/>
        </w:rPr>
        <w:t xml:space="preserve"> means the </w:t>
      </w:r>
      <w:r>
        <w:rPr>
          <w:rFonts w:ascii="Arial" w:cs="Arial" w:eastAsia="Arial" w:hAnsi="Arial"/>
          <w:sz w:val="16"/>
          <w:szCs w:val="16"/>
          <w:u w:val="single" w:color="auto"/>
          <w:color w:val="auto"/>
        </w:rPr>
        <w:t>sum</w:t>
      </w:r>
      <w:r>
        <w:rPr>
          <w:rFonts w:ascii="Arial" w:cs="Arial" w:eastAsia="Arial" w:hAnsi="Arial"/>
          <w:sz w:val="16"/>
          <w:szCs w:val="16"/>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with respect to any L/C Obligations on any date, the aggregate outstanding amount thereof on such date after giving effect to any Extensions of Credit occurring on such date and any other changes in the aggregate amount of the L/C Obligations as of such</w:t>
      </w:r>
    </w:p>
    <w:p>
      <w:pPr>
        <w:spacing w:after="0" w:line="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 including as a result of any reimbursements of outstanding unpaid drawings under any Letters of Credit or any reductions in the maximum amount available for drawing under Letters of Credit taking effect on such date.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xml:space="preserve"> means Standard &amp; Poor’s Financial Services LLC, a part of McGraw-Hill Financial and any successor thereto.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ind w:left="640"/>
              <w:spacing w:after="0"/>
              <w:rPr>
                <w:sz w:val="20"/>
                <w:szCs w:val="20"/>
                <w:color w:val="auto"/>
              </w:rPr>
            </w:pPr>
            <w:r>
              <w:rPr>
                <w:rFonts w:ascii="Arial" w:cs="Arial" w:eastAsia="Arial" w:hAnsi="Arial"/>
                <w:sz w:val="18"/>
                <w:szCs w:val="18"/>
                <w:color w:val="auto"/>
              </w:rPr>
              <w:t>“Sanctioned</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Country”</w:t>
            </w:r>
          </w:p>
        </w:tc>
        <w:tc>
          <w:tcPr>
            <w:tcW w:w="880" w:type="dxa"/>
            <w:vAlign w:val="bottom"/>
          </w:tcPr>
          <w:p>
            <w:pPr>
              <w:ind w:left="280"/>
              <w:spacing w:after="0"/>
              <w:rPr>
                <w:sz w:val="20"/>
                <w:szCs w:val="20"/>
                <w:color w:val="auto"/>
              </w:rPr>
            </w:pPr>
            <w:r>
              <w:rPr>
                <w:rFonts w:ascii="Arial" w:cs="Arial" w:eastAsia="Arial" w:hAnsi="Arial"/>
                <w:sz w:val="18"/>
                <w:szCs w:val="18"/>
                <w:color w:val="auto"/>
              </w:rPr>
              <w:t>means</w:t>
            </w:r>
          </w:p>
        </w:tc>
        <w:tc>
          <w:tcPr>
            <w:tcW w:w="400" w:type="dxa"/>
            <w:vAlign w:val="bottom"/>
          </w:tcPr>
          <w:p>
            <w:pPr>
              <w:ind w:left="22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rPr>
              <w:t>country</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subject</w:t>
            </w:r>
          </w:p>
        </w:tc>
        <w:tc>
          <w:tcPr>
            <w:tcW w:w="460" w:type="dxa"/>
            <w:vAlign w:val="bottom"/>
          </w:tcPr>
          <w:p>
            <w:pPr>
              <w:ind w:left="140"/>
              <w:spacing w:after="0"/>
              <w:rPr>
                <w:sz w:val="20"/>
                <w:szCs w:val="20"/>
                <w:color w:val="auto"/>
              </w:rPr>
            </w:pPr>
            <w:r>
              <w:rPr>
                <w:rFonts w:ascii="Arial" w:cs="Arial" w:eastAsia="Arial" w:hAnsi="Arial"/>
                <w:sz w:val="18"/>
                <w:szCs w:val="18"/>
                <w:color w:val="auto"/>
              </w:rPr>
              <w:t>to</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a</w:t>
            </w:r>
          </w:p>
        </w:tc>
        <w:tc>
          <w:tcPr>
            <w:tcW w:w="1180" w:type="dxa"/>
            <w:vAlign w:val="bottom"/>
          </w:tcPr>
          <w:p>
            <w:pPr>
              <w:ind w:left="340"/>
              <w:spacing w:after="0"/>
              <w:rPr>
                <w:sz w:val="20"/>
                <w:szCs w:val="20"/>
                <w:color w:val="auto"/>
              </w:rPr>
            </w:pPr>
            <w:r>
              <w:rPr>
                <w:rFonts w:ascii="Arial" w:cs="Arial" w:eastAsia="Arial" w:hAnsi="Arial"/>
                <w:sz w:val="18"/>
                <w:szCs w:val="18"/>
                <w:color w:val="auto"/>
              </w:rPr>
              <w:t>sanctions</w:t>
            </w:r>
          </w:p>
        </w:tc>
        <w:tc>
          <w:tcPr>
            <w:tcW w:w="980" w:type="dxa"/>
            <w:vAlign w:val="bottom"/>
          </w:tcPr>
          <w:p>
            <w:pPr>
              <w:ind w:left="180"/>
              <w:spacing w:after="0"/>
              <w:rPr>
                <w:sz w:val="20"/>
                <w:szCs w:val="20"/>
                <w:color w:val="auto"/>
              </w:rPr>
            </w:pPr>
            <w:r>
              <w:rPr>
                <w:rFonts w:ascii="Arial" w:cs="Arial" w:eastAsia="Arial" w:hAnsi="Arial"/>
                <w:sz w:val="18"/>
                <w:szCs w:val="18"/>
                <w:color w:val="auto"/>
              </w:rPr>
              <w:t>program</w:t>
            </w:r>
          </w:p>
        </w:tc>
        <w:tc>
          <w:tcPr>
            <w:tcW w:w="1060" w:type="dxa"/>
            <w:vAlign w:val="bottom"/>
          </w:tcPr>
          <w:p>
            <w:pPr>
              <w:ind w:left="180"/>
              <w:spacing w:after="0"/>
              <w:rPr>
                <w:sz w:val="20"/>
                <w:szCs w:val="20"/>
                <w:color w:val="auto"/>
              </w:rPr>
            </w:pPr>
            <w:r>
              <w:rPr>
                <w:rFonts w:ascii="Arial" w:cs="Arial" w:eastAsia="Arial" w:hAnsi="Arial"/>
                <w:sz w:val="18"/>
                <w:szCs w:val="18"/>
                <w:color w:val="auto"/>
              </w:rPr>
              <w:t>identified</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on</w:t>
            </w:r>
          </w:p>
        </w:tc>
        <w:tc>
          <w:tcPr>
            <w:tcW w:w="580" w:type="dxa"/>
            <w:vAlign w:val="bottom"/>
          </w:tcPr>
          <w:p>
            <w:pPr>
              <w:ind w:left="180"/>
              <w:spacing w:after="0"/>
              <w:rPr>
                <w:sz w:val="20"/>
                <w:szCs w:val="20"/>
                <w:color w:val="auto"/>
              </w:rPr>
            </w:pPr>
            <w:r>
              <w:rPr>
                <w:rFonts w:ascii="Arial" w:cs="Arial" w:eastAsia="Arial" w:hAnsi="Arial"/>
                <w:sz w:val="18"/>
                <w:szCs w:val="18"/>
                <w:color w:val="auto"/>
              </w:rPr>
              <w:t>the</w:t>
            </w:r>
          </w:p>
        </w:tc>
        <w:tc>
          <w:tcPr>
            <w:tcW w:w="400" w:type="dxa"/>
            <w:vAlign w:val="bottom"/>
          </w:tcPr>
          <w:p>
            <w:pPr>
              <w:jc w:val="right"/>
              <w:spacing w:after="0"/>
              <w:rPr>
                <w:sz w:val="20"/>
                <w:szCs w:val="20"/>
                <w:color w:val="auto"/>
              </w:rPr>
            </w:pPr>
            <w:r>
              <w:rPr>
                <w:rFonts w:ascii="Arial" w:cs="Arial" w:eastAsia="Arial" w:hAnsi="Arial"/>
                <w:sz w:val="18"/>
                <w:szCs w:val="18"/>
                <w:color w:val="auto"/>
              </w:rPr>
              <w:t>list</w:t>
            </w:r>
          </w:p>
        </w:tc>
      </w:tr>
      <w:tr>
        <w:trPr>
          <w:trHeight w:val="20"/>
        </w:trPr>
        <w:tc>
          <w:tcPr>
            <w:tcW w:w="72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196"/>
        </w:trPr>
        <w:tc>
          <w:tcPr>
            <w:tcW w:w="2640" w:type="dxa"/>
            <w:vAlign w:val="bottom"/>
            <w:gridSpan w:val="4"/>
          </w:tcPr>
          <w:p>
            <w:pPr>
              <w:spacing w:after="0" w:line="196" w:lineRule="exact"/>
              <w:rPr>
                <w:sz w:val="20"/>
                <w:szCs w:val="20"/>
                <w:color w:val="auto"/>
              </w:rPr>
            </w:pPr>
            <w:r>
              <w:rPr>
                <w:rFonts w:ascii="Arial" w:cs="Arial" w:eastAsia="Arial" w:hAnsi="Arial"/>
                <w:sz w:val="18"/>
                <w:szCs w:val="18"/>
                <w:color w:val="auto"/>
              </w:rPr>
              <w:t>maintained   by   OFAC   and</w:t>
            </w:r>
          </w:p>
        </w:tc>
        <w:tc>
          <w:tcPr>
            <w:tcW w:w="880" w:type="dxa"/>
            <w:vAlign w:val="bottom"/>
          </w:tcPr>
          <w:p>
            <w:pPr>
              <w:ind w:left="100"/>
              <w:spacing w:after="0" w:line="196" w:lineRule="exact"/>
              <w:rPr>
                <w:sz w:val="20"/>
                <w:szCs w:val="20"/>
                <w:color w:val="auto"/>
              </w:rPr>
            </w:pPr>
            <w:r>
              <w:rPr>
                <w:rFonts w:ascii="Arial" w:cs="Arial" w:eastAsia="Arial" w:hAnsi="Arial"/>
                <w:sz w:val="18"/>
                <w:szCs w:val="18"/>
                <w:color w:val="auto"/>
              </w:rPr>
              <w:t>available</w:t>
            </w:r>
          </w:p>
        </w:tc>
        <w:tc>
          <w:tcPr>
            <w:tcW w:w="400" w:type="dxa"/>
            <w:vAlign w:val="bottom"/>
          </w:tcPr>
          <w:p>
            <w:pPr>
              <w:ind w:left="140"/>
              <w:spacing w:after="0" w:line="196" w:lineRule="exact"/>
              <w:rPr>
                <w:sz w:val="20"/>
                <w:szCs w:val="20"/>
                <w:color w:val="auto"/>
              </w:rPr>
            </w:pPr>
            <w:r>
              <w:rPr>
                <w:rFonts w:ascii="Arial" w:cs="Arial" w:eastAsia="Arial" w:hAnsi="Arial"/>
                <w:sz w:val="18"/>
                <w:szCs w:val="18"/>
                <w:color w:val="auto"/>
              </w:rPr>
              <w:t>at</w:t>
            </w:r>
          </w:p>
        </w:tc>
        <w:tc>
          <w:tcPr>
            <w:tcW w:w="7380" w:type="dxa"/>
            <w:vAlign w:val="bottom"/>
            <w:gridSpan w:val="13"/>
          </w:tcPr>
          <w:p>
            <w:pPr>
              <w:jc w:val="right"/>
              <w:spacing w:after="0" w:line="196" w:lineRule="exact"/>
              <w:rPr>
                <w:sz w:val="20"/>
                <w:szCs w:val="20"/>
                <w:color w:val="auto"/>
              </w:rPr>
            </w:pPr>
            <w:r>
              <w:rPr>
                <w:rFonts w:ascii="Arial" w:cs="Arial" w:eastAsia="Arial" w:hAnsi="Arial"/>
                <w:sz w:val="18"/>
                <w:szCs w:val="18"/>
                <w:color w:val="0000FF"/>
                <w:w w:val="91"/>
              </w:rPr>
              <w:t>http://www.treasury.gov/resource- center/sanctions/Programs/Pages/Programs.aspx</w:t>
            </w:r>
            <w:r>
              <w:rPr>
                <w:rFonts w:ascii="Arial" w:cs="Arial" w:eastAsia="Arial" w:hAnsi="Arial"/>
                <w:sz w:val="18"/>
                <w:szCs w:val="18"/>
                <w:color w:val="000000"/>
                <w:w w:val="91"/>
              </w:rPr>
              <w:t>, or as otherwise</w:t>
            </w:r>
          </w:p>
        </w:tc>
      </w:tr>
      <w:tr>
        <w:trPr>
          <w:trHeight w:val="237"/>
        </w:trPr>
        <w:tc>
          <w:tcPr>
            <w:tcW w:w="2640" w:type="dxa"/>
            <w:vAlign w:val="bottom"/>
            <w:gridSpan w:val="4"/>
          </w:tcPr>
          <w:p>
            <w:pPr>
              <w:spacing w:after="0"/>
              <w:rPr>
                <w:sz w:val="20"/>
                <w:szCs w:val="20"/>
                <w:color w:val="auto"/>
              </w:rPr>
            </w:pPr>
            <w:r>
              <w:rPr>
                <w:rFonts w:ascii="Arial" w:cs="Arial" w:eastAsia="Arial" w:hAnsi="Arial"/>
                <w:sz w:val="18"/>
                <w:szCs w:val="18"/>
                <w:color w:val="auto"/>
              </w:rPr>
              <w:t>published from time to time.</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980" w:type="dxa"/>
            <w:vAlign w:val="bottom"/>
            <w:tcBorders>
              <w:top w:val="single" w:sz="8" w:color="0000FF"/>
            </w:tcBorders>
          </w:tcPr>
          <w:p>
            <w:pPr>
              <w:spacing w:after="0"/>
              <w:rPr>
                <w:sz w:val="20"/>
                <w:szCs w:val="20"/>
                <w:color w:val="auto"/>
              </w:rPr>
            </w:pPr>
          </w:p>
        </w:tc>
        <w:tc>
          <w:tcPr>
            <w:tcW w:w="10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00"/>
          </w:cols>
          <w:pgMar w:left="360" w:top="584" w:right="239" w:bottom="1440" w:gutter="0" w:footer="0" w:header="0"/>
        </w:sectPr>
      </w:pPr>
    </w:p>
    <w:bookmarkStart w:id="99" w:name="page100"/>
    <w:bookmarkEnd w:id="99"/>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600" w:type="dxa"/>
            <w:vAlign w:val="bottom"/>
            <w:gridSpan w:val="2"/>
          </w:tcPr>
          <w:p>
            <w:pPr>
              <w:ind w:left="640"/>
              <w:spacing w:after="0"/>
              <w:rPr>
                <w:sz w:val="20"/>
                <w:szCs w:val="20"/>
                <w:color w:val="auto"/>
              </w:rPr>
            </w:pPr>
            <w:r>
              <w:rPr>
                <w:rFonts w:ascii="Arial" w:cs="Arial" w:eastAsia="Arial" w:hAnsi="Arial"/>
                <w:sz w:val="18"/>
                <w:szCs w:val="18"/>
                <w:color w:val="auto"/>
                <w:w w:val="97"/>
              </w:rPr>
              <w:t>“Sanctioned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Person”</w:t>
            </w:r>
          </w:p>
        </w:tc>
        <w:tc>
          <w:tcPr>
            <w:tcW w:w="720" w:type="dxa"/>
            <w:vAlign w:val="bottom"/>
          </w:tcPr>
          <w:p>
            <w:pPr>
              <w:ind w:left="100"/>
              <w:spacing w:after="0"/>
              <w:rPr>
                <w:sz w:val="20"/>
                <w:szCs w:val="20"/>
                <w:color w:val="auto"/>
              </w:rPr>
            </w:pPr>
            <w:r>
              <w:rPr>
                <w:rFonts w:ascii="Arial" w:cs="Arial" w:eastAsia="Arial" w:hAnsi="Arial"/>
                <w:sz w:val="18"/>
                <w:szCs w:val="18"/>
                <w:color w:val="auto"/>
              </w:rPr>
              <w:t>means</w:t>
            </w:r>
          </w:p>
        </w:tc>
        <w:tc>
          <w:tcPr>
            <w:tcW w:w="420" w:type="dxa"/>
            <w:vAlign w:val="bottom"/>
          </w:tcPr>
          <w:p>
            <w:pPr>
              <w:ind w:left="140"/>
              <w:spacing w:after="0"/>
              <w:rPr>
                <w:sz w:val="20"/>
                <w:szCs w:val="20"/>
                <w:color w:val="auto"/>
              </w:rPr>
            </w:pPr>
            <w:r>
              <w:rPr>
                <w:rFonts w:ascii="Arial" w:cs="Arial" w:eastAsia="Arial" w:hAnsi="Arial"/>
                <w:sz w:val="18"/>
                <w:szCs w:val="18"/>
                <w:color w:val="auto"/>
              </w:rPr>
              <w:t>(a)</w:t>
            </w:r>
          </w:p>
        </w:tc>
        <w:tc>
          <w:tcPr>
            <w:tcW w:w="460" w:type="dxa"/>
            <w:vAlign w:val="bottom"/>
          </w:tcPr>
          <w:p>
            <w:pPr>
              <w:ind w:left="220"/>
              <w:spacing w:after="0"/>
              <w:rPr>
                <w:sz w:val="20"/>
                <w:szCs w:val="20"/>
                <w:color w:val="auto"/>
              </w:rPr>
            </w:pPr>
            <w:r>
              <w:rPr>
                <w:rFonts w:ascii="Arial" w:cs="Arial" w:eastAsia="Arial" w:hAnsi="Arial"/>
                <w:sz w:val="18"/>
                <w:szCs w:val="18"/>
                <w:color w:val="auto"/>
              </w:rPr>
              <w:t>a</w:t>
            </w:r>
          </w:p>
        </w:tc>
        <w:tc>
          <w:tcPr>
            <w:tcW w:w="840" w:type="dxa"/>
            <w:vAlign w:val="bottom"/>
          </w:tcPr>
          <w:p>
            <w:pPr>
              <w:ind w:left="140"/>
              <w:spacing w:after="0"/>
              <w:rPr>
                <w:sz w:val="20"/>
                <w:szCs w:val="20"/>
                <w:color w:val="auto"/>
              </w:rPr>
            </w:pPr>
            <w:r>
              <w:rPr>
                <w:rFonts w:ascii="Arial" w:cs="Arial" w:eastAsia="Arial" w:hAnsi="Arial"/>
                <w:sz w:val="18"/>
                <w:szCs w:val="18"/>
                <w:color w:val="auto"/>
              </w:rPr>
              <w:t>Person</w:t>
            </w:r>
          </w:p>
        </w:tc>
        <w:tc>
          <w:tcPr>
            <w:tcW w:w="720" w:type="dxa"/>
            <w:vAlign w:val="bottom"/>
          </w:tcPr>
          <w:p>
            <w:pPr>
              <w:ind w:left="100"/>
              <w:spacing w:after="0"/>
              <w:rPr>
                <w:sz w:val="20"/>
                <w:szCs w:val="20"/>
                <w:color w:val="auto"/>
              </w:rPr>
            </w:pPr>
            <w:r>
              <w:rPr>
                <w:rFonts w:ascii="Arial" w:cs="Arial" w:eastAsia="Arial" w:hAnsi="Arial"/>
                <w:sz w:val="18"/>
                <w:szCs w:val="18"/>
                <w:color w:val="auto"/>
              </w:rPr>
              <w:t>named</w:t>
            </w:r>
          </w:p>
        </w:tc>
        <w:tc>
          <w:tcPr>
            <w:tcW w:w="500" w:type="dxa"/>
            <w:vAlign w:val="bottom"/>
          </w:tcPr>
          <w:p>
            <w:pPr>
              <w:ind w:left="160"/>
              <w:spacing w:after="0"/>
              <w:rPr>
                <w:sz w:val="20"/>
                <w:szCs w:val="20"/>
                <w:color w:val="auto"/>
              </w:rPr>
            </w:pPr>
            <w:r>
              <w:rPr>
                <w:rFonts w:ascii="Arial" w:cs="Arial" w:eastAsia="Arial" w:hAnsi="Arial"/>
                <w:sz w:val="18"/>
                <w:szCs w:val="18"/>
                <w:color w:val="auto"/>
              </w:rPr>
              <w:t>on</w:t>
            </w:r>
          </w:p>
        </w:tc>
        <w:tc>
          <w:tcPr>
            <w:tcW w:w="520" w:type="dxa"/>
            <w:vAlign w:val="bottom"/>
          </w:tcPr>
          <w:p>
            <w:pPr>
              <w:ind w:left="140"/>
              <w:spacing w:after="0"/>
              <w:rPr>
                <w:sz w:val="20"/>
                <w:szCs w:val="20"/>
                <w:color w:val="auto"/>
              </w:rPr>
            </w:pPr>
            <w:r>
              <w:rPr>
                <w:rFonts w:ascii="Arial" w:cs="Arial" w:eastAsia="Arial" w:hAnsi="Arial"/>
                <w:sz w:val="18"/>
                <w:szCs w:val="18"/>
                <w:color w:val="auto"/>
              </w:rPr>
              <w:t>the</w:t>
            </w:r>
          </w:p>
        </w:tc>
        <w:tc>
          <w:tcPr>
            <w:tcW w:w="520" w:type="dxa"/>
            <w:vAlign w:val="bottom"/>
          </w:tcPr>
          <w:p>
            <w:pPr>
              <w:ind w:left="140"/>
              <w:spacing w:after="0"/>
              <w:rPr>
                <w:sz w:val="20"/>
                <w:szCs w:val="20"/>
                <w:color w:val="auto"/>
              </w:rPr>
            </w:pPr>
            <w:r>
              <w:rPr>
                <w:rFonts w:ascii="Arial" w:cs="Arial" w:eastAsia="Arial" w:hAnsi="Arial"/>
                <w:sz w:val="18"/>
                <w:szCs w:val="18"/>
                <w:color w:val="auto"/>
              </w:rPr>
              <w:t>list</w:t>
            </w: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of</w:t>
            </w:r>
          </w:p>
        </w:tc>
        <w:tc>
          <w:tcPr>
            <w:tcW w:w="1060" w:type="dxa"/>
            <w:vAlign w:val="bottom"/>
          </w:tcPr>
          <w:p>
            <w:pPr>
              <w:ind w:left="160"/>
              <w:spacing w:after="0"/>
              <w:rPr>
                <w:sz w:val="20"/>
                <w:szCs w:val="20"/>
                <w:color w:val="auto"/>
              </w:rPr>
            </w:pPr>
            <w:r>
              <w:rPr>
                <w:rFonts w:ascii="Arial" w:cs="Arial" w:eastAsia="Arial" w:hAnsi="Arial"/>
                <w:sz w:val="18"/>
                <w:szCs w:val="18"/>
                <w:color w:val="auto"/>
              </w:rPr>
              <w:t>“Specially</w:t>
            </w:r>
          </w:p>
        </w:tc>
        <w:tc>
          <w:tcPr>
            <w:tcW w:w="1100" w:type="dxa"/>
            <w:vAlign w:val="bottom"/>
          </w:tcPr>
          <w:p>
            <w:pPr>
              <w:ind w:left="140"/>
              <w:spacing w:after="0"/>
              <w:rPr>
                <w:sz w:val="20"/>
                <w:szCs w:val="20"/>
                <w:color w:val="auto"/>
              </w:rPr>
            </w:pPr>
            <w:r>
              <w:rPr>
                <w:rFonts w:ascii="Arial" w:cs="Arial" w:eastAsia="Arial" w:hAnsi="Arial"/>
                <w:sz w:val="18"/>
                <w:szCs w:val="18"/>
                <w:color w:val="auto"/>
              </w:rPr>
              <w:t>Designated</w:t>
            </w:r>
          </w:p>
        </w:tc>
        <w:tc>
          <w:tcPr>
            <w:tcW w:w="960" w:type="dxa"/>
            <w:vAlign w:val="bottom"/>
          </w:tcPr>
          <w:p>
            <w:pPr>
              <w:ind w:left="160"/>
              <w:spacing w:after="0"/>
              <w:rPr>
                <w:sz w:val="20"/>
                <w:szCs w:val="20"/>
                <w:color w:val="auto"/>
              </w:rPr>
            </w:pPr>
            <w:r>
              <w:rPr>
                <w:rFonts w:ascii="Arial" w:cs="Arial" w:eastAsia="Arial" w:hAnsi="Arial"/>
                <w:sz w:val="18"/>
                <w:szCs w:val="18"/>
                <w:color w:val="auto"/>
              </w:rPr>
              <w:t>Nationals</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and</w:t>
            </w:r>
          </w:p>
        </w:tc>
      </w:tr>
      <w:tr>
        <w:trPr>
          <w:trHeight w:val="20"/>
        </w:trPr>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r>
      <w:tr>
        <w:trPr>
          <w:trHeight w:val="196"/>
        </w:trPr>
        <w:tc>
          <w:tcPr>
            <w:tcW w:w="1600" w:type="dxa"/>
            <w:vAlign w:val="bottom"/>
            <w:gridSpan w:val="2"/>
          </w:tcPr>
          <w:p>
            <w:pPr>
              <w:spacing w:after="0" w:line="196" w:lineRule="exact"/>
              <w:rPr>
                <w:sz w:val="20"/>
                <w:szCs w:val="20"/>
                <w:color w:val="auto"/>
              </w:rPr>
            </w:pPr>
            <w:r>
              <w:rPr>
                <w:rFonts w:ascii="Arial" w:cs="Arial" w:eastAsia="Arial" w:hAnsi="Arial"/>
                <w:sz w:val="18"/>
                <w:szCs w:val="18"/>
                <w:color w:val="auto"/>
              </w:rPr>
              <w:t>Blocked   Persons”</w:t>
            </w:r>
          </w:p>
        </w:tc>
        <w:tc>
          <w:tcPr>
            <w:tcW w:w="9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0"/>
              </w:rPr>
              <w:t>maintained</w:t>
            </w: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by   OFAC</w:t>
            </w:r>
          </w:p>
        </w:tc>
        <w:tc>
          <w:tcPr>
            <w:tcW w:w="130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available   at</w:t>
            </w:r>
          </w:p>
        </w:tc>
        <w:tc>
          <w:tcPr>
            <w:tcW w:w="6280" w:type="dxa"/>
            <w:vAlign w:val="bottom"/>
            <w:gridSpan w:val="11"/>
          </w:tcPr>
          <w:p>
            <w:pPr>
              <w:spacing w:after="0" w:line="196" w:lineRule="exact"/>
              <w:rPr>
                <w:sz w:val="20"/>
                <w:szCs w:val="20"/>
                <w:color w:val="auto"/>
              </w:rPr>
            </w:pPr>
            <w:r>
              <w:rPr>
                <w:rFonts w:ascii="Arial" w:cs="Arial" w:eastAsia="Arial" w:hAnsi="Arial"/>
                <w:sz w:val="18"/>
                <w:szCs w:val="18"/>
                <w:color w:val="0000FF"/>
                <w:w w:val="90"/>
              </w:rPr>
              <w:t>http://www.treasury.gov/resource- center/sanctions/SDN-List/Pages/default.aspx</w:t>
            </w:r>
            <w:r>
              <w:rPr>
                <w:rFonts w:ascii="Arial" w:cs="Arial" w:eastAsia="Arial" w:hAnsi="Arial"/>
                <w:sz w:val="18"/>
                <w:szCs w:val="18"/>
                <w:color w:val="000000"/>
                <w:w w:val="90"/>
              </w:rPr>
              <w:t>, or as</w:t>
            </w:r>
          </w:p>
        </w:tc>
      </w:tr>
      <w:tr>
        <w:trPr>
          <w:trHeight w:val="20"/>
        </w:trPr>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3"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otherwise published from time to time, (b) a Person named on the lists maintained by the United Nations Security Council available at </w:t>
      </w:r>
      <w:r>
        <w:rPr>
          <w:rFonts w:ascii="Arial" w:cs="Arial" w:eastAsia="Arial" w:hAnsi="Arial"/>
          <w:sz w:val="18"/>
          <w:szCs w:val="18"/>
          <w:u w:val="single" w:color="auto"/>
          <w:color w:val="0000FF"/>
        </w:rPr>
        <w:t>http://www.un.org/sc/committees/list_compend.shtml</w:t>
      </w:r>
      <w:r>
        <w:rPr>
          <w:rFonts w:ascii="Arial" w:cs="Arial" w:eastAsia="Arial" w:hAnsi="Arial"/>
          <w:sz w:val="18"/>
          <w:szCs w:val="18"/>
          <w:color w:val="000000"/>
        </w:rPr>
        <w:t>, or as otherwise published from time to time, (c) a Person named on the lists maintained by the</w:t>
      </w:r>
      <w:r>
        <w:rPr>
          <w:rFonts w:ascii="Arial" w:cs="Arial" w:eastAsia="Arial" w:hAnsi="Arial"/>
          <w:sz w:val="18"/>
          <w:szCs w:val="18"/>
          <w:color w:val="0000FF"/>
        </w:rPr>
        <w:t xml:space="preserve"> </w:t>
      </w:r>
      <w:r>
        <w:rPr>
          <w:rFonts w:ascii="Arial" w:cs="Arial" w:eastAsia="Arial" w:hAnsi="Arial"/>
          <w:sz w:val="18"/>
          <w:szCs w:val="18"/>
          <w:color w:val="000000"/>
        </w:rPr>
        <w:t xml:space="preserve">European Union available at </w:t>
      </w:r>
      <w:r>
        <w:rPr>
          <w:rFonts w:ascii="Arial" w:cs="Arial" w:eastAsia="Arial" w:hAnsi="Arial"/>
          <w:sz w:val="18"/>
          <w:szCs w:val="18"/>
          <w:u w:val="single" w:color="auto"/>
          <w:color w:val="0000FF"/>
        </w:rPr>
        <w:t>http://eeas.europa.eu/cfsp/sanctions/consol-list_en.htm</w:t>
      </w:r>
      <w:r>
        <w:rPr>
          <w:rFonts w:ascii="Arial" w:cs="Arial" w:eastAsia="Arial" w:hAnsi="Arial"/>
          <w:sz w:val="18"/>
          <w:szCs w:val="18"/>
          <w:color w:val="000000"/>
        </w:rPr>
        <w:t xml:space="preserve">, or as otherwise published from time to time, (d) a Person named on the lists maintained by Her Majesty’s Treasury available at </w:t>
      </w:r>
      <w:r>
        <w:rPr>
          <w:rFonts w:ascii="Arial" w:cs="Arial" w:eastAsia="Arial" w:hAnsi="Arial"/>
          <w:sz w:val="18"/>
          <w:szCs w:val="18"/>
          <w:u w:val="single" w:color="auto"/>
          <w:color w:val="0000FF"/>
        </w:rPr>
        <w:t>http://www.hm- treasury.gov.uk/fin_sanctions_index.htm</w:t>
      </w:r>
      <w:r>
        <w:rPr>
          <w:rFonts w:ascii="Arial" w:cs="Arial" w:eastAsia="Arial" w:hAnsi="Arial"/>
          <w:sz w:val="18"/>
          <w:szCs w:val="18"/>
          <w:color w:val="000000"/>
        </w:rPr>
        <w:t>, or as otherwise published from time to time, or (e) (i) an agency of the government of a Sanctioned Country, (ii) an organization controlled by a Sanctioned Country, or (iii) a person resident in a Sanctioned Country, to the extent subject to a sanctions program administered by OFAC.</w:t>
      </w:r>
    </w:p>
    <w:p>
      <w:pPr>
        <w:spacing w:after="0" w:line="20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means the Securities and Exchange Commission, or any Governmental Authority succeeding to any of its principal functions.</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Cash Management Agreement”</w:t>
      </w:r>
      <w:r>
        <w:rPr>
          <w:rFonts w:ascii="Arial" w:cs="Arial" w:eastAsia="Arial" w:hAnsi="Arial"/>
          <w:sz w:val="16"/>
          <w:szCs w:val="16"/>
          <w:color w:val="auto"/>
        </w:rPr>
        <w:t xml:space="preserve"> means any Cash Management Agreement between or among any Credit Party and any Cash Management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Bank.</w:t>
      </w:r>
    </w:p>
    <w:p>
      <w:pPr>
        <w:spacing w:after="0" w:line="22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Hedge Agreement between or among any Credit Party and any Hedge Bank.</w:t>
      </w:r>
    </w:p>
    <w:p>
      <w:pPr>
        <w:spacing w:after="0" w:line="225" w:lineRule="exact"/>
        <w:rPr>
          <w:sz w:val="20"/>
          <w:szCs w:val="20"/>
          <w:color w:val="auto"/>
        </w:rPr>
      </w:pPr>
    </w:p>
    <w:p>
      <w:pPr>
        <w:jc w:val="both"/>
        <w:ind w:left="4"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xml:space="preserve">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147"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Issuing Lenders, the Hedge Banks, the Cash Management Banks, each co-agent or sub-agent appointed by the Administrative Agent from time to time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holder from time to time of any of any Secured Obligations and, in each case, their respective successors and permitted assigns.</w:t>
      </w:r>
    </w:p>
    <w:p>
      <w:pPr>
        <w:spacing w:after="0" w:line="19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xml:space="preserve"> means the collective reference to the Collateral Agreement, the Mortgages, and each other agreement or writing pursuant to which any Credit Party pledges or grants a security interest in any Property or assets securing the Secured Obligations.</w:t>
      </w:r>
    </w:p>
    <w:p>
      <w:pPr>
        <w:spacing w:after="0" w:line="18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Social Club Entities”</w:t>
      </w:r>
      <w:r>
        <w:rPr>
          <w:rFonts w:ascii="Arial" w:cs="Arial" w:eastAsia="Arial" w:hAnsi="Arial"/>
          <w:sz w:val="18"/>
          <w:szCs w:val="18"/>
          <w:color w:val="auto"/>
        </w:rPr>
        <w:t xml:space="preserve"> means Blue Dress Social Club, Inc., an Arkansas corporation, and any entity formed after the Closing Date and designated as a “Social Club Entity” by the Borrower in writing to Administrative Agent, so long as such entity (i) is formed for the sole purpose of facilitating the sale of alcoholic beverages at a single Restaurant location in compliance with state, city or county laws and regulations that require the formation of such entity and (ii) does not hold any assets other than assets that</w:t>
      </w:r>
    </w:p>
    <w:p>
      <w:pPr>
        <w:spacing w:after="0" w:line="254"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color w:val="auto"/>
        </w:rPr>
        <w:t xml:space="preserve">are required in order to comply with such laws and regulations at such Restaurant location,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Store Operating Cash Flow for such Restaurants for any period shall not exceed 2.5% of the aggregate Store Operating Cash Flow for all Restaurants operated by Holdings and its Subsidiaries.</w:t>
      </w:r>
    </w:p>
    <w:p>
      <w:pPr>
        <w:spacing w:after="0" w:line="137" w:lineRule="exact"/>
        <w:rPr>
          <w:sz w:val="20"/>
          <w:szCs w:val="20"/>
          <w:color w:val="auto"/>
        </w:rPr>
      </w:pPr>
    </w:p>
    <w:p>
      <w:pPr>
        <w:jc w:val="both"/>
        <w:ind w:left="4" w:firstLine="67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w:t>
      </w:r>
    </w:p>
    <w:p>
      <w:pPr>
        <w:jc w:val="both"/>
        <w:ind w:left="4" w:right="20" w:hanging="4"/>
        <w:spacing w:after="0" w:line="250" w:lineRule="auto"/>
        <w:tabs>
          <w:tab w:leader="none" w:pos="2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w:t>
      </w:r>
    </w:p>
    <w:p>
      <w:pPr>
        <w:spacing w:after="0" w:line="1" w:lineRule="exact"/>
        <w:rPr>
          <w:rFonts w:ascii="Arial" w:cs="Arial" w:eastAsia="Arial" w:hAnsi="Arial"/>
          <w:sz w:val="18"/>
          <w:szCs w:val="18"/>
          <w:color w:val="auto"/>
        </w:rPr>
      </w:pPr>
    </w:p>
    <w:p>
      <w:pPr>
        <w:jc w:val="both"/>
        <w:ind w:left="4" w:right="20" w:hanging="4"/>
        <w:spacing w:after="0" w:line="255"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0"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xml:space="preserve"> means any disposition of all or substantially all of the assets or Equity Interests of any Subsidiary of the Borrower or any division, business unit, product line or line of business.</w:t>
      </w:r>
    </w:p>
    <w:p>
      <w:pPr>
        <w:spacing w:after="0" w:line="19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4"/>
          </w:cols>
          <w:pgMar w:left="356" w:top="837" w:right="239" w:bottom="1440" w:gutter="0" w:footer="0" w:header="0"/>
        </w:sectPr>
      </w:pPr>
    </w:p>
    <w:bookmarkStart w:id="100" w:name="page101"/>
    <w:bookmarkEnd w:id="100"/>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Dividend”</w:t>
      </w:r>
      <w:r>
        <w:rPr>
          <w:rFonts w:ascii="Arial" w:cs="Arial" w:eastAsia="Arial" w:hAnsi="Arial"/>
          <w:sz w:val="18"/>
          <w:szCs w:val="18"/>
          <w:color w:val="auto"/>
        </w:rPr>
        <w:t xml:space="preserve"> means a one-time dividend to the Permitted Investors on or within 90 days after the Closing Date in an aggregate amount not to exceed $75,000,000;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an aggregate amount not to exceed $1,500,000 shall be permitted to be paid after the date which is 90 days after the Closing Date to the extent paid on or before June 15, 2016.</w:t>
      </w:r>
    </w:p>
    <w:p>
      <w:pPr>
        <w:spacing w:after="0" w:line="195" w:lineRule="exact"/>
        <w:rPr>
          <w:sz w:val="20"/>
          <w:szCs w:val="20"/>
          <w:color w:val="auto"/>
        </w:rPr>
      </w:pPr>
    </w:p>
    <w:p>
      <w:pPr>
        <w:ind w:right="3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Transactions”</w:t>
      </w:r>
      <w:r>
        <w:rPr>
          <w:rFonts w:ascii="Arial" w:cs="Arial" w:eastAsia="Arial" w:hAnsi="Arial"/>
          <w:sz w:val="18"/>
          <w:szCs w:val="18"/>
          <w:color w:val="auto"/>
        </w:rPr>
        <w:t xml:space="preserve"> means (a) any Specified Disposition, (b) any Permitted Acquisition and (c) the Transactions.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means a collective reference to Newport Global Opportunities Fund LP, a Delaware limited partnership and Fidelity National Financial Ventures, LLC, a Delaware limited liability company</w:t>
      </w:r>
      <w:r>
        <w:rPr>
          <w:rFonts w:ascii="Arial" w:cs="Arial" w:eastAsia="Arial" w:hAnsi="Arial"/>
          <w:sz w:val="18"/>
          <w:szCs w:val="18"/>
          <w:color w:val="231F1F"/>
        </w:rPr>
        <w:t>.</w:t>
      </w:r>
    </w:p>
    <w:p>
      <w:pPr>
        <w:spacing w:after="0" w:line="170" w:lineRule="exact"/>
        <w:rPr>
          <w:sz w:val="20"/>
          <w:szCs w:val="20"/>
          <w:color w:val="auto"/>
        </w:rPr>
      </w:pPr>
    </w:p>
    <w:p>
      <w:pPr>
        <w:jc w:val="both"/>
        <w:ind w:firstLine="67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Store Operating Cash Flow”</w:t>
      </w:r>
      <w:r>
        <w:rPr>
          <w:rFonts w:ascii="Arial" w:cs="Arial" w:eastAsia="Arial" w:hAnsi="Arial"/>
          <w:sz w:val="17"/>
          <w:szCs w:val="17"/>
          <w:color w:val="auto"/>
        </w:rPr>
        <w:t xml:space="preserve"> means, with respect to any Restaurant and for any fiscal period, the net revenue generated by such Restaurant during such fiscal period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the cash operating expenses of such Restaurant during such fiscal period, in each case calculated in a manner consistent with the historical calculation of Store Operating Cash Flow by Holdings and its Subsidiaries.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xml:space="preserve"> means the collective reference to any Indebtedness incurred by Holdings or any of its Subsidiaries that is subordinated in right and time of payment to the Obligations on terms and conditions satisfactory to the Administrative Agent.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Holdings. Notwithstanding anything to the contrary</w:t>
      </w: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contained herein, none of the Social Club Entities shall constitute “Subsidiaries” of Holdings or Borrower for any purpose under this Agreement or any of the other Loan Documents.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xml:space="preserve"> means, collectively, all direct and indirect Subsidiaries of Holdings (other than the Borrower and Foreign Subsidiaries to the extent that and for so long as the guaranty of such Foreign Subsidiary would have adverse tax consequences for the Borrower or any other Credit Party or result in a violation of Applicable Laws) that are parties to the Subsidiary Guaranty Agreement on the Closing Date or which become a party to the Subsidiary Guaranty Agreement thereafter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241" w:lineRule="exact"/>
        <w:rPr>
          <w:sz w:val="20"/>
          <w:szCs w:val="20"/>
          <w:color w:val="auto"/>
        </w:rPr>
      </w:pPr>
    </w:p>
    <w:p>
      <w:pPr>
        <w:jc w:val="both"/>
        <w:ind w:right="20" w:firstLine="67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xml:space="preserve"> means, with respect to any Guarantor, any obligation to pay or perform under any agreement, contract or transaction that constitutes a “swap” within the meaning of section 1a(47) of the Commodity Exchange Act.</w:t>
      </w:r>
    </w:p>
    <w:p>
      <w:pPr>
        <w:spacing w:after="0" w:line="184" w:lineRule="exact"/>
        <w:rPr>
          <w:sz w:val="20"/>
          <w:szCs w:val="20"/>
          <w:color w:val="auto"/>
        </w:rPr>
      </w:pPr>
    </w:p>
    <w:p>
      <w:pPr>
        <w:ind w:right="40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lesser of (a) Twenty Million Dollars ($20,000,000) and (b) the Revolving Credit Commitment.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Facility</w:t>
      </w:r>
      <w:r>
        <w:rPr>
          <w:rFonts w:ascii="Arial" w:cs="Arial" w:eastAsia="Arial" w:hAnsi="Arial"/>
          <w:sz w:val="18"/>
          <w:szCs w:val="18"/>
          <w:color w:val="auto"/>
        </w:rPr>
        <w:t xml:space="preserve">” means the swingline facility established pursuant to </w:t>
      </w:r>
      <w:r>
        <w:rPr>
          <w:rFonts w:ascii="Arial" w:cs="Arial" w:eastAsia="Arial" w:hAnsi="Arial"/>
          <w:sz w:val="18"/>
          <w:szCs w:val="18"/>
          <w:u w:val="single" w:color="auto"/>
          <w:color w:val="auto"/>
        </w:rPr>
        <w:t>Section 2.2.</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Wells Fargo in its capacity as swingline lender hereunder or any successor thereto.</w:t>
      </w:r>
    </w:p>
    <w:p>
      <w:pPr>
        <w:spacing w:after="0" w:line="23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any swingline loan made by the Swingline Lender to the Borrower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all such swingline loans collectively as the context requires.</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w:t>
      </w:r>
      <w:r>
        <w:rPr>
          <w:rFonts w:ascii="Arial" w:cs="Arial" w:eastAsia="Arial" w:hAnsi="Arial"/>
          <w:sz w:val="18"/>
          <w:szCs w:val="18"/>
          <w:color w:val="auto"/>
        </w:rPr>
        <w:t xml:space="preserve"> means a promissory note made by the Borrower in favor of the Swingline Lender evidencing the Swingline Loans made by the Swingline Lender, substantially in the form attached as </w:t>
      </w:r>
      <w:r>
        <w:rPr>
          <w:rFonts w:ascii="Arial" w:cs="Arial" w:eastAsia="Arial" w:hAnsi="Arial"/>
          <w:sz w:val="18"/>
          <w:szCs w:val="18"/>
          <w:b w:val="1"/>
          <w:bCs w:val="1"/>
          <w:i w:val="1"/>
          <w:iCs w:val="1"/>
          <w:color w:val="auto"/>
        </w:rPr>
        <w:t>Exhibit A-2</w:t>
      </w:r>
      <w:r>
        <w:rPr>
          <w:rFonts w:ascii="Arial" w:cs="Arial" w:eastAsia="Arial" w:hAnsi="Arial"/>
          <w:sz w:val="18"/>
          <w:szCs w:val="18"/>
          <w:color w:val="auto"/>
        </w:rPr>
        <w:t>, and any substitutes therefor, and any replacements, restatements, renewals or extension thereof, in whole or in part.</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w:t>
      </w:r>
      <w:r>
        <w:rPr>
          <w:rFonts w:ascii="Arial" w:cs="Arial" w:eastAsia="Arial" w:hAnsi="Arial"/>
          <w:sz w:val="18"/>
          <w:szCs w:val="18"/>
          <w:color w:val="auto"/>
        </w:rPr>
        <w:t xml:space="preserve"> means any synthetic lease, tax retention operating lease, off-balance sheet loan or similar off-balance sheet financing product where such transaction is considered borrowed money indebtedness for tax purposes but is classified</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360" w:top="81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as an Operating Lease in accordance with GAAP.</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9.6(d).</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Liability Account”</w:t>
      </w:r>
      <w:r>
        <w:rPr>
          <w:rFonts w:ascii="Arial" w:cs="Arial" w:eastAsia="Arial" w:hAnsi="Arial"/>
          <w:sz w:val="18"/>
          <w:szCs w:val="18"/>
          <w:color w:val="auto"/>
        </w:rPr>
        <w:t xml:space="preserve"> means a memorandum account maintained by Holdings for each of its members. The initial balance of the Tax Liability Account for each such member is zero. At the end of each Fiscal Year, the Tax Liability Account is increased by the amount of the Assumed Tax Liability of such member for such year and decreased in the amount of the Assumed Tax Benefit of such member for the year. The Tax liability Account will also be decreased by any Tax Distributions to such member.</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Agreement”</w:t>
      </w:r>
      <w:r>
        <w:rPr>
          <w:rFonts w:ascii="Arial" w:cs="Arial" w:eastAsia="Arial" w:hAnsi="Arial"/>
          <w:sz w:val="18"/>
          <w:szCs w:val="18"/>
          <w:color w:val="auto"/>
        </w:rPr>
        <w:t xml:space="preserve"> means that certain Termination Agreement to Phantom Equity Agreement dated as of August 5, 2014 by and among Holdings, the Borrower and Hazem Ouf.</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w:t>
      </w:r>
      <w:r>
        <w:rPr>
          <w:rFonts w:ascii="Arial" w:cs="Arial" w:eastAsia="Arial" w:hAnsi="Arial"/>
          <w:sz w:val="16"/>
          <w:szCs w:val="16"/>
          <w:color w:val="auto"/>
        </w:rPr>
        <w:t xml:space="preserve">” means (a) as to any Term Loan Lender, the obligation of such Term Loan Lender to make a portion of the Initial Term Loan and/or Incremental Term Loans, as applicable, to the account of the Borrower hereunder on the Closing Date (in the case of the Initial Term Loan) or the applicable borrowing date (in the case of any Incremental Term Loan) in an aggregate principal amount not to exceed the amount set forth opposite such Lender’s name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as such amount may be increased, reduced or otherwise modified at any time or from time to time pursuant to the terms hereof and (b) as to all Term Loan Lenders, the aggregate commitment of all Term Loan Lenders to make such Term Loans. The aggregate Term Loan Commitment with respect to the Initial Term Loan of all Term Loan Lenders on the Closing Date shall be One Hundred Ten Million Dollars ($110,000,000). The Term Loan Commitment of each Term Loan Lender as of the Closing Date is set forth opposite the name of such Term Loan Lender on </w:t>
      </w:r>
      <w:r>
        <w:rPr>
          <w:rFonts w:ascii="Arial" w:cs="Arial" w:eastAsia="Arial" w:hAnsi="Arial"/>
          <w:sz w:val="16"/>
          <w:szCs w:val="16"/>
          <w:u w:val="single" w:color="auto"/>
          <w:color w:val="auto"/>
        </w:rPr>
        <w:t>Schedule 1.1(b).</w:t>
      </w:r>
    </w:p>
    <w:p>
      <w:pPr>
        <w:spacing w:after="0" w:line="2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means the term loan facility established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(including any new term loan facility established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xml:space="preserve"> means any Lender with a Term Loan Commitment and/or outstanding Term Loans.</w:t>
      </w:r>
    </w:p>
    <w:p>
      <w:pPr>
        <w:spacing w:after="0" w:line="2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the first to occur of (a) the fifth anniversary of the Closing Date, and (b) the date of acceleration of the Term Loans pursuant to </w:t>
      </w:r>
      <w:r>
        <w:rPr>
          <w:rFonts w:ascii="Arial" w:cs="Arial" w:eastAsia="Arial" w:hAnsi="Arial"/>
          <w:sz w:val="18"/>
          <w:szCs w:val="18"/>
          <w:u w:val="single" w:color="auto"/>
          <w:color w:val="auto"/>
        </w:rPr>
        <w:t>Section 10.2(a).</w:t>
      </w:r>
    </w:p>
    <w:p>
      <w:pPr>
        <w:spacing w:after="0" w:line="224" w:lineRule="exact"/>
        <w:rPr>
          <w:sz w:val="20"/>
          <w:szCs w:val="20"/>
          <w:color w:val="auto"/>
        </w:rPr>
      </w:pPr>
    </w:p>
    <w:p>
      <w:pPr>
        <w:jc w:val="both"/>
        <w:ind w:firstLine="67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a promissory note made by the Borrower in favor of a Term Loan Lender evidencing the portion of the Term Loans made by such Term Loan Lender, substantially in the form attached as </w:t>
      </w:r>
      <w:r>
        <w:rPr>
          <w:rFonts w:ascii="Arial" w:cs="Arial" w:eastAsia="Arial" w:hAnsi="Arial"/>
          <w:sz w:val="18"/>
          <w:szCs w:val="18"/>
          <w:b w:val="1"/>
          <w:bCs w:val="1"/>
          <w:i w:val="1"/>
          <w:iCs w:val="1"/>
          <w:color w:val="auto"/>
        </w:rPr>
        <w:t>Exhibit A-3</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Percentage”</w:t>
      </w:r>
      <w:r>
        <w:rPr>
          <w:rFonts w:ascii="Arial" w:cs="Arial" w:eastAsia="Arial" w:hAnsi="Arial"/>
          <w:sz w:val="18"/>
          <w:szCs w:val="18"/>
          <w:color w:val="auto"/>
        </w:rPr>
        <w:t xml:space="preserve"> means, with respect to any Term Loan Lender at any time, the percentage of the total outstanding principal balance of the Term Loans represented by the outstanding principal balance of such Term Loan Lender’s Term Loans. The Term Loan Percentage of each Term Loan Lender as of the Closing Date is set forth opposite the name of such Lender on </w:t>
      </w:r>
      <w:r>
        <w:rPr>
          <w:rFonts w:ascii="Arial" w:cs="Arial" w:eastAsia="Arial" w:hAnsi="Arial"/>
          <w:sz w:val="18"/>
          <w:szCs w:val="18"/>
          <w:u w:val="single" w:color="auto"/>
          <w:color w:val="auto"/>
        </w:rPr>
        <w:t>Schedule 1.1(b).</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Loans”</w:t>
      </w:r>
      <w:r>
        <w:rPr>
          <w:rFonts w:ascii="Arial" w:cs="Arial" w:eastAsia="Arial" w:hAnsi="Arial"/>
          <w:sz w:val="17"/>
          <w:szCs w:val="17"/>
          <w:color w:val="auto"/>
        </w:rPr>
        <w:t xml:space="preserve"> means the Initial Term Loans and, if applicable, the Incremental Term Loans and “</w:t>
      </w:r>
      <w:r>
        <w:rPr>
          <w:rFonts w:ascii="Arial" w:cs="Arial" w:eastAsia="Arial" w:hAnsi="Arial"/>
          <w:sz w:val="17"/>
          <w:szCs w:val="17"/>
          <w:u w:val="single" w:color="auto"/>
          <w:color w:val="auto"/>
        </w:rPr>
        <w:t>Term Loan”</w:t>
      </w:r>
      <w:r>
        <w:rPr>
          <w:rFonts w:ascii="Arial" w:cs="Arial" w:eastAsia="Arial" w:hAnsi="Arial"/>
          <w:sz w:val="17"/>
          <w:szCs w:val="17"/>
          <w:color w:val="auto"/>
        </w:rPr>
        <w:t xml:space="preserve"> means any of such Term Loans.</w:t>
      </w:r>
    </w:p>
    <w:p>
      <w:pPr>
        <w:spacing w:after="0" w:line="2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Event”</w:t>
      </w:r>
      <w:r>
        <w:rPr>
          <w:rFonts w:ascii="Arial" w:cs="Arial" w:eastAsia="Arial" w:hAnsi="Arial"/>
          <w:sz w:val="17"/>
          <w:szCs w:val="17"/>
          <w:color w:val="auto"/>
        </w:rPr>
        <w:t xml:space="preserve"> means the occurrence of any of the following which, individually or in the aggregate, has resulted or could reasonably be expected to result in liability of the Borrower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360" w:top="584" w:right="239" w:bottom="1440" w:gutter="0" w:footer="0" w:header="0"/>
        </w:sectPr>
      </w:pPr>
    </w:p>
    <w:bookmarkStart w:id="102" w:name="page103"/>
    <w:bookmarkEnd w:id="102"/>
    <w:p>
      <w:pPr>
        <w:jc w:val="both"/>
        <w:ind w:left="4"/>
        <w:spacing w:after="0" w:line="271" w:lineRule="auto"/>
        <w:rPr>
          <w:sz w:val="20"/>
          <w:szCs w:val="20"/>
          <w:color w:val="auto"/>
        </w:rPr>
      </w:pPr>
      <w:r>
        <w:rPr>
          <w:rFonts w:ascii="Arial" w:cs="Arial" w:eastAsia="Arial" w:hAnsi="Arial"/>
          <w:sz w:val="17"/>
          <w:szCs w:val="17"/>
          <w:color w:val="auto"/>
        </w:rPr>
        <w:t>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xml:space="preserve"> means $10,000,000.</w:t>
      </w:r>
    </w:p>
    <w:p>
      <w:pPr>
        <w:spacing w:after="0" w:line="279"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xml:space="preserve"> means, as to any Lender at any time, the unused Commitments, Revolving Credit Exposure and outstanding Term Loans of such Lender at such time.</w:t>
      </w:r>
    </w:p>
    <w:p>
      <w:pPr>
        <w:spacing w:after="0" w:line="184"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Lease Adjusted Leverage Ratio”</w:t>
      </w:r>
      <w:r>
        <w:rPr>
          <w:rFonts w:ascii="Arial" w:cs="Arial" w:eastAsia="Arial" w:hAnsi="Arial"/>
          <w:sz w:val="17"/>
          <w:szCs w:val="17"/>
          <w:color w:val="auto"/>
        </w:rPr>
        <w:t xml:space="preserve"> means, as of any date of determination the result of (a) the sum of (i) the amount of Consolidated Total Indebtedness as of such date, plus (ii) the product of (A) actual cash Rental Expense for the four (4) consecutive fiscal quarters ending on or immediately prior to such date, multiplied by (B) 8.0, to (b) Consolidated EBITDAR for the four (4) fiscal quarters then ended as of such date.</w:t>
      </w:r>
    </w:p>
    <w:p>
      <w:pPr>
        <w:spacing w:after="0" w:line="166" w:lineRule="exact"/>
        <w:rPr>
          <w:sz w:val="20"/>
          <w:szCs w:val="20"/>
          <w:color w:val="auto"/>
        </w:rPr>
      </w:pPr>
    </w:p>
    <w:p>
      <w:pPr>
        <w:ind w:left="4"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xml:space="preserve"> means all transaction fees, charges, integration costs and other amounts related to the Transactions, any actual or attempted IPO and any actual or attempted Permitted Acquisitions (including, without limitation, any financing fees, merger and acquisition fees, legal fees and expenses, due diligence fees or any other fees and expenses in connection therewith), in each case to the extent expensed (a) with respect to integration costs, prior to or within eighteen (18) months after the closing of any such Permitted Acquisition and (b) with respect to all other items of Transaction Costs, prior to or within twelve (12) months after the closing of the Credit Facility or any such Permitted Acquisition, as applicable, and which are reasonable and customary (or are otherwise approved by the Administrative Agent in its reasonable discretion). Transaction Costs shall include an aggregate of $1,225,000 for the O‘Charley’s Bonus Payment.</w:t>
      </w:r>
    </w:p>
    <w:p>
      <w:pPr>
        <w:spacing w:after="0" w:line="189" w:lineRule="exact"/>
        <w:rPr>
          <w:sz w:val="20"/>
          <w:szCs w:val="20"/>
          <w:color w:val="auto"/>
        </w:rPr>
      </w:pPr>
    </w:p>
    <w:p>
      <w:pPr>
        <w:jc w:val="both"/>
        <w:ind w:left="4"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means, collectively, (a) the repayment in full of all Indebtedness outstanding under the Existing Credit Agreement, (b) the initial Extensions of Credit, (c) the payment of the Specified Dividend and (d) the payment of the Transaction Costs incurred in connection with the foregoing.</w:t>
      </w:r>
    </w:p>
    <w:p>
      <w:pPr>
        <w:spacing w:after="0" w:line="13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Delaware.</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xml:space="preserve"> means the United States of America.</w:t>
      </w:r>
    </w:p>
    <w:p>
      <w:pPr>
        <w:spacing w:after="0" w:line="279" w:lineRule="exact"/>
        <w:rPr>
          <w:sz w:val="20"/>
          <w:szCs w:val="20"/>
          <w:color w:val="auto"/>
        </w:rPr>
      </w:pPr>
    </w:p>
    <w:p>
      <w:pPr>
        <w:ind w:left="6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xml:space="preserve"> means any Person that is a “United States person” as defined in Section 7701(a)(30) of the Code.</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5.11(g).</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79"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xml:space="preserve"> means, with respect to a Subsidiary, that all of the Equity Interests of such Subsidiary are, directly or indirectly, owned or controlled by Holdings and/or one or more of its Wholly- Owned Subsidiaries (except for directors’ qualifying shares or other shares required by Applicable Law to be owned by a Person other than Holdings and/or one or more of its Wholly-Owned Subsidiaries).</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xml:space="preserve"> means any Credit Party and the Administrative Agent.</w:t>
      </w:r>
    </w:p>
    <w:p>
      <w:pPr>
        <w:spacing w:after="0" w:line="77" w:lineRule="exact"/>
        <w:rPr>
          <w:sz w:val="20"/>
          <w:szCs w:val="20"/>
          <w:color w:val="auto"/>
        </w:rPr>
      </w:pPr>
    </w:p>
    <w:p>
      <w:pPr>
        <w:jc w:val="both"/>
        <w:ind w:left="4" w:right="20" w:firstLine="648"/>
        <w:spacing w:after="0" w:line="274"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Definitions and Provisions.</w:t>
      </w:r>
      <w:r>
        <w:rPr>
          <w:rFonts w:ascii="Arial" w:cs="Arial" w:eastAsia="Arial" w:hAnsi="Arial"/>
          <w:sz w:val="17"/>
          <w:szCs w:val="17"/>
          <w:color w:val="auto"/>
        </w:rPr>
        <w:t xml:space="preserve"> With reference to this Agreement and each other Loan Document, unless otherwise specified herein or in such other Loan Document: (a) the definitions of terms herein shall apply equally to the singular and plural forms of the terms defined,</w:t>
      </w:r>
    </w:p>
    <w:p>
      <w:pPr>
        <w:ind w:left="5504" w:right="2240" w:hanging="5504"/>
        <w:spacing w:after="0" w:line="542" w:lineRule="auto"/>
        <w:tabs>
          <w:tab w:leader="none" w:pos="2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 (c) 31</w:t>
      </w:r>
    </w:p>
    <w:p>
      <w:pPr>
        <w:sectPr>
          <w:pgSz w:w="11900" w:h="16838" w:orient="portrait"/>
          <w:cols w:equalWidth="0" w:num="1">
            <w:col w:w="11304"/>
          </w:cols>
          <w:pgMar w:left="356" w:top="638" w:right="239" w:bottom="1440" w:gutter="0" w:footer="0" w:header="0"/>
        </w:sectPr>
      </w:pPr>
    </w:p>
    <w:bookmarkStart w:id="103" w:name="page104"/>
    <w:bookmarkEnd w:id="103"/>
    <w:p>
      <w:pPr>
        <w:jc w:val="both"/>
        <w:ind w:left="4"/>
        <w:spacing w:after="0" w:line="254" w:lineRule="auto"/>
        <w:rPr>
          <w:sz w:val="20"/>
          <w:szCs w:val="20"/>
          <w:color w:val="auto"/>
        </w:rPr>
      </w:pPr>
      <w:r>
        <w:rPr>
          <w:rFonts w:ascii="Arial" w:cs="Arial" w:eastAsia="Arial" w:hAnsi="Arial"/>
          <w:sz w:val="18"/>
          <w:szCs w:val="18"/>
          <w:color w:val="auto"/>
        </w:rPr>
        <w:t>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w:t>
      </w:r>
    </w:p>
    <w:p>
      <w:pPr>
        <w:spacing w:after="0" w:line="3" w:lineRule="exact"/>
        <w:rPr>
          <w:sz w:val="20"/>
          <w:szCs w:val="20"/>
          <w:color w:val="auto"/>
        </w:rPr>
      </w:pPr>
    </w:p>
    <w:p>
      <w:pPr>
        <w:ind w:left="4" w:hanging="4"/>
        <w:spacing w:after="0" w:line="324" w:lineRule="auto"/>
        <w:tabs>
          <w:tab w:leader="none" w:pos="7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4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Accounting Terms.</w:t>
      </w:r>
    </w:p>
    <w:p>
      <w:pPr>
        <w:spacing w:after="0" w:line="252" w:lineRule="exact"/>
        <w:rPr>
          <w:sz w:val="20"/>
          <w:szCs w:val="20"/>
          <w:color w:val="auto"/>
        </w:rPr>
      </w:pPr>
    </w:p>
    <w:p>
      <w:pPr>
        <w:jc w:val="both"/>
        <w:ind w:left="4" w:firstLine="644"/>
        <w:spacing w:after="0" w:line="346" w:lineRule="auto"/>
        <w:tabs>
          <w:tab w:leader="none" w:pos="13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8.1(a), 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Holdings and its Subsidiaries shall be deemed to be carried at 100% of the outstanding principal amount thereof, and the effects of FASB ASC 825 and FASB ASC 470-20 on financial liabilities shall be disregarded.</w:t>
      </w:r>
    </w:p>
    <w:p>
      <w:pPr>
        <w:spacing w:after="0" w:line="164" w:lineRule="exact"/>
        <w:rPr>
          <w:rFonts w:ascii="Arial" w:cs="Arial" w:eastAsia="Arial" w:hAnsi="Arial"/>
          <w:sz w:val="16"/>
          <w:szCs w:val="16"/>
          <w:color w:val="auto"/>
        </w:rPr>
      </w:pPr>
    </w:p>
    <w:p>
      <w:pPr>
        <w:jc w:val="both"/>
        <w:ind w:left="4" w:firstLine="644"/>
        <w:spacing w:after="0" w:line="302" w:lineRule="auto"/>
        <w:tabs>
          <w:tab w:leader="none" w:pos="14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2"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UCC Terms.</w:t>
      </w:r>
      <w:r>
        <w:rPr>
          <w:rFonts w:ascii="Arial" w:cs="Arial" w:eastAsia="Arial" w:hAnsi="Arial"/>
          <w:sz w:val="18"/>
          <w:szCs w:val="18"/>
          <w:color w:val="auto"/>
        </w:rPr>
        <w:t xml:space="preserve">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81"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w:t>
      </w:r>
    </w:p>
    <w:p>
      <w:pPr>
        <w:spacing w:after="0" w:line="249"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herein and rounding the result up or down to the nearest number (with a rounding-up if there is no nearest number).</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References to Agreement and Laws.</w:t>
      </w:r>
      <w:r>
        <w:rPr>
          <w:rFonts w:ascii="Arial" w:cs="Arial" w:eastAsia="Arial" w:hAnsi="Arial"/>
          <w:sz w:val="18"/>
          <w:szCs w:val="18"/>
          <w:color w:val="auto"/>
        </w:rPr>
        <w:t xml:space="preserve"> Unless otherwise expressly provided herein,</w:t>
      </w:r>
    </w:p>
    <w:p>
      <w:pPr>
        <w:spacing w:after="0" w:line="36" w:lineRule="exact"/>
        <w:rPr>
          <w:sz w:val="20"/>
          <w:szCs w:val="20"/>
          <w:color w:val="auto"/>
        </w:rPr>
      </w:pPr>
    </w:p>
    <w:p>
      <w:pPr>
        <w:jc w:val="both"/>
        <w:ind w:left="4" w:hanging="4"/>
        <w:spacing w:after="0" w:line="344" w:lineRule="auto"/>
        <w:tabs>
          <w:tab w:leader="none" w:pos="744"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the Code, the Commodity Exchange Act, ERISA, the Exchange Act, the PATRIOT Act, the Securities Act of 1933, the UCC, the Investment Company Act of 1940,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53"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Times of Day.</w:t>
      </w:r>
      <w:r>
        <w:rPr>
          <w:rFonts w:ascii="Arial" w:cs="Arial" w:eastAsia="Arial" w:hAnsi="Arial"/>
          <w:sz w:val="18"/>
          <w:szCs w:val="18"/>
          <w:color w:val="auto"/>
        </w:rPr>
        <w:t xml:space="preserve"> Unless otherwise specified, all references herein to times of day shall be references to Eastern time (daylight or standard, as applicable).</w:t>
      </w:r>
    </w:p>
    <w:p>
      <w:pPr>
        <w:spacing w:after="0" w:line="170"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xml:space="preserve"> Unless otherwise specified, all references herein to the amount of a Letter of Credit at any time shall be deemed to mean the maximum face amount of such Letter of Credit after giving effect to all</w:t>
      </w:r>
    </w:p>
    <w:p>
      <w:pPr>
        <w:spacing w:after="0" w:line="19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4"/>
          </w:cols>
          <w:pgMar w:left="356" w:top="584" w:right="239" w:bottom="1440" w:gutter="0" w:footer="0" w:header="0"/>
        </w:sectPr>
      </w:pPr>
    </w:p>
    <w:bookmarkStart w:id="104" w:name="page105"/>
    <w:bookmarkEnd w:id="104"/>
    <w:p>
      <w:pPr>
        <w:jc w:val="both"/>
        <w:ind w:left="40"/>
        <w:spacing w:after="0" w:line="264" w:lineRule="auto"/>
        <w:rPr>
          <w:sz w:val="20"/>
          <w:szCs w:val="20"/>
          <w:color w:val="auto"/>
        </w:rPr>
      </w:pPr>
      <w:r>
        <w:rPr>
          <w:rFonts w:ascii="Arial" w:cs="Arial" w:eastAsia="Arial" w:hAnsi="Arial"/>
          <w:sz w:val="18"/>
          <w:szCs w:val="18"/>
          <w:color w:val="auto"/>
        </w:rPr>
        <w:t>increases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81" w:lineRule="exact"/>
        <w:rPr>
          <w:sz w:val="20"/>
          <w:szCs w:val="20"/>
          <w:color w:val="auto"/>
        </w:rPr>
      </w:pPr>
    </w:p>
    <w:p>
      <w:pPr>
        <w:jc w:val="both"/>
        <w:ind w:left="40" w:firstLine="648"/>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Unless otherwise specified, the amount of any Guarantee shall be the lesser of the principal amount of the obligations guaranteed and still outstanding and the maximum amount for which the guaranteeing Person may be liable pursuant to the terms of the instrument embodying such Guarantee.</w:t>
      </w:r>
    </w:p>
    <w:p>
      <w:pPr>
        <w:spacing w:after="0" w:line="181" w:lineRule="exact"/>
        <w:rPr>
          <w:sz w:val="20"/>
          <w:szCs w:val="20"/>
          <w:color w:val="auto"/>
        </w:rPr>
      </w:pPr>
    </w:p>
    <w:p>
      <w:pPr>
        <w:jc w:val="both"/>
        <w:ind w:left="40" w:firstLine="648"/>
        <w:spacing w:after="0" w:line="291"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Covenant Compliance Generally</w:t>
      </w:r>
      <w:r>
        <w:rPr>
          <w:rFonts w:ascii="Arial" w:cs="Arial" w:eastAsia="Arial" w:hAnsi="Arial"/>
          <w:sz w:val="16"/>
          <w:szCs w:val="16"/>
          <w:color w:val="auto"/>
        </w:rPr>
        <w:t xml:space="preserve">. For purposes of determining compliance under </w:t>
      </w:r>
      <w:r>
        <w:rPr>
          <w:rFonts w:ascii="Arial" w:cs="Arial" w:eastAsia="Arial" w:hAnsi="Arial"/>
          <w:sz w:val="16"/>
          <w:szCs w:val="16"/>
          <w:u w:val="single" w:color="auto"/>
          <w:color w:val="auto"/>
        </w:rPr>
        <w:t>Sections 9.1, 9.2, 9.3, 9.5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any amount in a currency other than Dollars will be converted to Dollars in a manner consistent with that used in calculating Consolidated Net Income in the most recent annual financial statements of Holdings and its Subsidiaries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Notwithstanding the foregoing, for purposes of determining compliance with </w:t>
      </w:r>
      <w:r>
        <w:rPr>
          <w:rFonts w:ascii="Arial" w:cs="Arial" w:eastAsia="Arial" w:hAnsi="Arial"/>
          <w:sz w:val="16"/>
          <w:szCs w:val="16"/>
          <w:u w:val="single" w:color="auto"/>
          <w:color w:val="auto"/>
        </w:rPr>
        <w:t>Sections 9.1, 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shall otherwise apply to such Sections, including with respect to determining whether any Indebtedness or Investment may be incurred at any time under such Sections.</w:t>
      </w:r>
    </w:p>
    <w:p>
      <w:pPr>
        <w:spacing w:after="0" w:line="2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ARTICLE II REVOLVING CREDIT FACILITY</w:t>
      </w:r>
    </w:p>
    <w:p>
      <w:pPr>
        <w:spacing w:after="0" w:line="104" w:lineRule="exact"/>
        <w:rPr>
          <w:sz w:val="20"/>
          <w:szCs w:val="20"/>
          <w:color w:val="auto"/>
        </w:rPr>
      </w:pPr>
    </w:p>
    <w:p>
      <w:pPr>
        <w:jc w:val="both"/>
        <w:ind w:left="40" w:firstLine="648"/>
        <w:spacing w:after="0" w:line="29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Revolving Credit Loans.</w:t>
      </w:r>
      <w:r>
        <w:rPr>
          <w:rFonts w:ascii="Arial" w:cs="Arial" w:eastAsia="Arial" w:hAnsi="Arial"/>
          <w:sz w:val="16"/>
          <w:szCs w:val="16"/>
          <w:color w:val="auto"/>
        </w:rPr>
        <w:t xml:space="preserve"> Subject to the terms and conditions of this Agreement and the other Loan Documents, and in reliance upon the representations and warranties set forth in this Agreement and the other Loan Documents, each Revolving Credit Lender severally agrees to make Revolving Credit Loans to the Borrower from time to time from the Closing Date through, but not including, the Revolving Credit Maturity Date as requested by the Borrower in accordance with the terms of </w:t>
      </w:r>
      <w:r>
        <w:rPr>
          <w:rFonts w:ascii="Arial" w:cs="Arial" w:eastAsia="Arial" w:hAnsi="Arial"/>
          <w:sz w:val="16"/>
          <w:szCs w:val="16"/>
          <w:u w:val="single" w:color="auto"/>
          <w:color w:val="auto"/>
        </w:rPr>
        <w:t>Section 2.3; provided,</w:t>
      </w:r>
      <w:r>
        <w:rPr>
          <w:rFonts w:ascii="Arial" w:cs="Arial" w:eastAsia="Arial" w:hAnsi="Arial"/>
          <w:sz w:val="16"/>
          <w:szCs w:val="16"/>
          <w:color w:val="auto"/>
        </w:rPr>
        <w:t xml:space="preserve"> that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 may borrow, repay and reborrow Revolving Credit Loans hereunder until the Revolving Credit Maturity Date.</w:t>
      </w:r>
    </w:p>
    <w:p>
      <w:pPr>
        <w:spacing w:after="0" w:line="16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Swingline Loans.</w:t>
      </w:r>
    </w:p>
    <w:p>
      <w:pPr>
        <w:spacing w:after="0" w:line="252" w:lineRule="exact"/>
        <w:rPr>
          <w:sz w:val="20"/>
          <w:szCs w:val="20"/>
          <w:color w:val="auto"/>
        </w:rPr>
      </w:pPr>
    </w:p>
    <w:p>
      <w:pPr>
        <w:jc w:val="both"/>
        <w:ind w:firstLine="657"/>
        <w:spacing w:after="0" w:line="297" w:lineRule="auto"/>
        <w:tabs>
          <w:tab w:leader="none" w:pos="1402"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and the other Loan Documents, and in reliance upon the representations and warranties set forth in this Agreement and the other Loan Documents, the Swingline Lender shall make Swingline Loans to the Borrower from time to time from the Closing Date through, but not including,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ind w:right="20" w:firstLine="9"/>
        <w:spacing w:after="0" w:line="395" w:lineRule="auto"/>
        <w:tabs>
          <w:tab w:leader="none" w:pos="7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after giving effect to any amount requested, the Revolving Credit Outstandings shall not exceed the Revolving Credit Commitment and (b) the aggregate principal amount of all outstanding Swingline Loans (after giving effect to any amount requested) shall not exceed the Swingline Commitment.</w:t>
      </w:r>
    </w:p>
    <w:p>
      <w:pPr>
        <w:spacing w:after="0" w:line="96" w:lineRule="exact"/>
        <w:rPr>
          <w:rFonts w:ascii="Arial" w:cs="Arial" w:eastAsia="Arial" w:hAnsi="Arial"/>
          <w:sz w:val="16"/>
          <w:szCs w:val="16"/>
          <w:color w:val="auto"/>
        </w:rPr>
      </w:pPr>
    </w:p>
    <w:p>
      <w:pPr>
        <w:ind w:left="1300" w:hanging="643"/>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Refunding.</w:t>
      </w:r>
    </w:p>
    <w:p>
      <w:pPr>
        <w:spacing w:after="0" w:line="252" w:lineRule="exact"/>
        <w:rPr>
          <w:rFonts w:ascii="Arial" w:cs="Arial" w:eastAsia="Arial" w:hAnsi="Arial"/>
          <w:sz w:val="18"/>
          <w:szCs w:val="18"/>
          <w:color w:val="auto"/>
        </w:rPr>
      </w:pPr>
    </w:p>
    <w:p>
      <w:pPr>
        <w:jc w:val="both"/>
        <w:ind w:left="660" w:firstLine="646"/>
        <w:spacing w:after="0" w:line="342" w:lineRule="auto"/>
        <w:tabs>
          <w:tab w:leader="none" w:pos="2032" w:val="left"/>
        </w:tabs>
        <w:numPr>
          <w:ilvl w:val="2"/>
          <w:numId w:val="62"/>
        </w:numPr>
        <w:rPr>
          <w:rFonts w:ascii="Arial" w:cs="Arial" w:eastAsia="Arial" w:hAnsi="Arial"/>
          <w:sz w:val="16"/>
          <w:szCs w:val="16"/>
          <w:color w:val="auto"/>
        </w:rPr>
      </w:pPr>
      <w:r>
        <w:rPr>
          <w:rFonts w:ascii="Arial" w:cs="Arial" w:eastAsia="Arial" w:hAnsi="Arial"/>
          <w:sz w:val="16"/>
          <w:szCs w:val="16"/>
          <w:color w:val="auto"/>
        </w:rPr>
        <w:t>Swingline Loans shall be refunded by the Revolving Credit Lenders on demand by the Swingline Lender. Such refundings shall be made by the Revolving Credit Lenders in accordance with their respective Revolving Credit Commitment Percentages and shall thereafter be reflected as Revolving Credit Loans of the Revolving Credit Lenders on the books and records of the Administrative Agent. Each Revolving Credit Lender shall fund its respective Revolving Credit Commitment Percentage of Revolving Credit Loans as required to repay Swingline Loans outstanding to the Swingline Lender upon demand by the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320" w:top="584" w:right="239" w:bottom="1440" w:gutter="0" w:footer="0" w:header="0"/>
        </w:sectPr>
      </w:pPr>
    </w:p>
    <w:bookmarkStart w:id="105" w:name="page106"/>
    <w:bookmarkEnd w:id="105"/>
    <w:p>
      <w:pPr>
        <w:jc w:val="both"/>
        <w:ind w:left="604" w:firstLine="652"/>
        <w:spacing w:after="0" w:line="320" w:lineRule="auto"/>
        <w:tabs>
          <w:tab w:leader="none" w:pos="203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Borrower shall pay to the Swingline Lender on demand the amount of such Swingline Loans to the extent amounts received from the Revolving Credit Lenders are not sufficient to repay in full the outstanding Swingline Loans requested or required to be refunded. In addition, the Borrower hereby authorizes the Administrative Agent to charge any account maintained by the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 (unless the amounts so recovered by or on behalf of the Borrower pertain to a Swingline Loan extended after the occurrence and during the continuance</w:t>
      </w:r>
    </w:p>
    <w:p>
      <w:pPr>
        <w:spacing w:after="0" w:line="4"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 xml:space="preserve">of an Event of Default of which the Administrative Agent has received notice in the manner required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and which such Event of Default has not been waived by the Required Lenders or the Lenders, as applicable).</w:t>
      </w:r>
    </w:p>
    <w:p>
      <w:pPr>
        <w:spacing w:after="0" w:line="211" w:lineRule="exact"/>
        <w:rPr>
          <w:sz w:val="20"/>
          <w:szCs w:val="20"/>
          <w:color w:val="auto"/>
        </w:rPr>
      </w:pPr>
    </w:p>
    <w:p>
      <w:pPr>
        <w:jc w:val="both"/>
        <w:ind w:left="644" w:firstLine="653"/>
        <w:spacing w:after="0" w:line="318" w:lineRule="auto"/>
        <w:tabs>
          <w:tab w:leader="none" w:pos="2102"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non-satisfaction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Further, each Revolving Credit Lender agrees and acknowledges that if prior to the refunding of any outstanding Swingline Loans pursuant to this Section, one of the events described in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Swingline Lender, in immediately available funds, the amount of its participation and upon receipt thereof the Swingline Lender will deliver to such Revolving Credit Lender a certificate evidencing such participation dated the date of receipt of such funds and for such amount. Whenever, at any time after the Swingline Lender has received from any Revolving Credit Lender such Revolving Credit Lender’s participating interest in a Swingline Loan, the Swingline Lender receives any payment on account thereof, the Swingline Lender will distribute to such Revolving Credit Lender its participating interest in such amount (appropriately adjusted, in the case of interest payments, to reflect the period of time during which such Revolving Credit Lender’s participating interest was outstanding and funded).</w:t>
      </w:r>
    </w:p>
    <w:p>
      <w:pPr>
        <w:spacing w:after="0" w:line="198" w:lineRule="exact"/>
        <w:rPr>
          <w:rFonts w:ascii="Arial" w:cs="Arial" w:eastAsia="Arial" w:hAnsi="Arial"/>
          <w:sz w:val="17"/>
          <w:szCs w:val="17"/>
          <w:color w:val="auto"/>
        </w:rPr>
      </w:pPr>
    </w:p>
    <w:p>
      <w:pPr>
        <w:ind w:left="4" w:right="440" w:firstLine="644"/>
        <w:spacing w:after="0" w:line="324" w:lineRule="auto"/>
        <w:tabs>
          <w:tab w:leader="none" w:pos="139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97" w:lineRule="exact"/>
        <w:rPr>
          <w:sz w:val="20"/>
          <w:szCs w:val="20"/>
          <w:color w:val="auto"/>
        </w:rPr>
      </w:pPr>
    </w:p>
    <w:p>
      <w:pPr>
        <w:ind w:left="644"/>
        <w:spacing w:after="0"/>
        <w:tabs>
          <w:tab w:leader="none" w:pos="1844"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Procedure for Advances of Revolving Credit Loans and Swingline Loans.</w:t>
      </w:r>
    </w:p>
    <w:p>
      <w:pPr>
        <w:spacing w:after="0" w:line="279" w:lineRule="exact"/>
        <w:rPr>
          <w:sz w:val="20"/>
          <w:szCs w:val="20"/>
          <w:color w:val="auto"/>
        </w:rPr>
      </w:pPr>
    </w:p>
    <w:p>
      <w:pPr>
        <w:ind w:left="4" w:right="540" w:firstLine="644"/>
        <w:spacing w:after="0" w:line="258" w:lineRule="auto"/>
        <w:tabs>
          <w:tab w:leader="none" w:pos="103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Requests for Borrowing.</w:t>
      </w:r>
      <w:r>
        <w:rPr>
          <w:rFonts w:ascii="Arial" w:cs="Arial" w:eastAsia="Arial" w:hAnsi="Arial"/>
          <w:sz w:val="18"/>
          <w:szCs w:val="18"/>
          <w:color w:val="auto"/>
        </w:rPr>
        <w:t xml:space="preserve"> The Borrower shall give the Administrative Agent irrevocable prior written notice substantially in the form of </w:t>
      </w:r>
      <w:r>
        <w:rPr>
          <w:rFonts w:ascii="Arial" w:cs="Arial" w:eastAsia="Arial" w:hAnsi="Arial"/>
          <w:sz w:val="18"/>
          <w:szCs w:val="18"/>
          <w:b w:val="1"/>
          <w:bCs w:val="1"/>
          <w:i w:val="1"/>
          <w:iCs w:val="1"/>
          <w:color w:val="auto"/>
        </w:rPr>
        <w:t xml:space="preserve">Exhibit B </w:t>
      </w:r>
      <w:r>
        <w:rPr>
          <w:rFonts w:ascii="Arial" w:cs="Arial" w:eastAsia="Arial" w:hAnsi="Arial"/>
          <w:sz w:val="18"/>
          <w:szCs w:val="18"/>
          <w:color w:val="auto"/>
        </w:rPr>
        <w:t>(a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not later than 1:00</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p.m. (i) on the same Business Day as each Base Rate Loan and each Swingline Loan and (ii) at least three</w:t>
      </w:r>
    </w:p>
    <w:p>
      <w:pPr>
        <w:spacing w:after="0" w:line="21" w:lineRule="exact"/>
        <w:rPr>
          <w:rFonts w:ascii="Arial" w:cs="Arial" w:eastAsia="Arial" w:hAnsi="Arial"/>
          <w:sz w:val="18"/>
          <w:szCs w:val="18"/>
          <w:color w:val="auto"/>
        </w:rPr>
      </w:pPr>
    </w:p>
    <w:p>
      <w:pPr>
        <w:ind w:left="744" w:hanging="744"/>
        <w:spacing w:after="0"/>
        <w:tabs>
          <w:tab w:leader="none" w:pos="74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Business Days before each LIBOR Rate Loan, of its intention to borrow, specifying (A) the date of such borrowing, which shall be a Business</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Day, (B) the amount of such borrowing, which shall be,</w:t>
      </w:r>
    </w:p>
    <w:p>
      <w:pPr>
        <w:spacing w:after="0" w:line="2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(x) with respect to Base Rate Loans (other than Swingline Loans) in an aggregate principal amount of</w:t>
      </w:r>
    </w:p>
    <w:p>
      <w:pPr>
        <w:spacing w:after="0" w:line="22" w:lineRule="exact"/>
        <w:rPr>
          <w:rFonts w:ascii="Arial" w:cs="Arial" w:eastAsia="Arial" w:hAnsi="Arial"/>
          <w:sz w:val="16"/>
          <w:szCs w:val="16"/>
          <w:color w:val="auto"/>
        </w:rPr>
      </w:pPr>
    </w:p>
    <w:p>
      <w:pPr>
        <w:ind w:left="4" w:right="20"/>
        <w:spacing w:after="0" w:line="250" w:lineRule="auto"/>
        <w:rPr>
          <w:rFonts w:ascii="Arial" w:cs="Arial" w:eastAsia="Arial" w:hAnsi="Arial"/>
          <w:sz w:val="16"/>
          <w:szCs w:val="16"/>
          <w:color w:val="auto"/>
        </w:rPr>
      </w:pPr>
      <w:r>
        <w:rPr>
          <w:rFonts w:ascii="Arial" w:cs="Arial" w:eastAsia="Arial" w:hAnsi="Arial"/>
          <w:sz w:val="18"/>
          <w:szCs w:val="18"/>
          <w:color w:val="auto"/>
        </w:rPr>
        <w:t>$1,000,000 or a whole multiple of $100,000 in excess thereof, (y) with respect to LIBOR Rate Loans in an aggregate principal amount of $2,000,000 or a whole multiple of $250,000 in excess thereof and</w:t>
      </w:r>
    </w:p>
    <w:p>
      <w:pPr>
        <w:ind w:left="4" w:right="3760"/>
        <w:spacing w:after="0" w:line="281" w:lineRule="auto"/>
        <w:rPr>
          <w:rFonts w:ascii="Arial" w:cs="Arial" w:eastAsia="Arial" w:hAnsi="Arial"/>
          <w:sz w:val="16"/>
          <w:szCs w:val="16"/>
          <w:color w:val="auto"/>
        </w:rPr>
      </w:pPr>
      <w:r>
        <w:rPr>
          <w:rFonts w:ascii="Arial" w:cs="Arial" w:eastAsia="Arial" w:hAnsi="Arial"/>
          <w:sz w:val="16"/>
          <w:szCs w:val="16"/>
          <w:color w:val="auto"/>
        </w:rPr>
        <w:t>(z) with respect to Swingline Loans in an aggregate principal amount of $100,000 or a whole multiple of $50,000 in excess thereof, (C) whether such Loan is to be a Revolving Credit Loan or Swingline Loan,</w:t>
      </w:r>
    </w:p>
    <w:p>
      <w:pPr>
        <w:spacing w:after="0" w:line="1" w:lineRule="exact"/>
        <w:rPr>
          <w:rFonts w:ascii="Arial" w:cs="Arial" w:eastAsia="Arial" w:hAnsi="Arial"/>
          <w:sz w:val="16"/>
          <w:szCs w:val="16"/>
          <w:color w:val="auto"/>
        </w:rPr>
      </w:pPr>
    </w:p>
    <w:p>
      <w:pPr>
        <w:jc w:val="both"/>
        <w:ind w:left="4"/>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(D) in the case of a Revolving Credit Loan whether the Loans are to be LIBOR Rate Loans or Base Rate Loans, and (E) in the case of a LIBOR Rate Loan, the duration of the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wishes to request LIBOR Rate Loans having an Interest Period of twelve months in duration, such notice must be received by the Administrative Agent not later than 1:00 p.m. four (4) Business Days prior to the requested date of such borrowing, whereupon the Administrative Agent shall give prompt notice to the Revolving Credit Lenders of such request and determine whether the requested Interest Period is acceptable to all of them. If the Borrower fails to specify a type of Loan in a Notice of Borrowing, then the applicable Loans shall be made as Base Rate Loans. If the Borrower requests a Borrowing of LIBOR Rate Loans in any such Notice of Borrowing, but fails to specify an Interest Period, it will be deemed to have specified an Interest Period of one month. A Notice of</w:t>
      </w:r>
    </w:p>
    <w:p>
      <w:pPr>
        <w:spacing w:after="0" w:line="32" w:lineRule="exact"/>
        <w:rPr>
          <w:sz w:val="20"/>
          <w:szCs w:val="20"/>
          <w:color w:val="auto"/>
        </w:rPr>
      </w:pPr>
    </w:p>
    <w:p>
      <w:pPr>
        <w:ind w:left="4"/>
        <w:spacing w:after="0"/>
        <w:tabs>
          <w:tab w:leader="none" w:pos="6464" w:val="left"/>
        </w:tabs>
        <w:rPr>
          <w:sz w:val="20"/>
          <w:szCs w:val="20"/>
          <w:color w:val="auto"/>
        </w:rPr>
      </w:pPr>
      <w:r>
        <w:rPr>
          <w:rFonts w:ascii="Arial" w:cs="Arial" w:eastAsia="Arial" w:hAnsi="Arial"/>
          <w:sz w:val="18"/>
          <w:szCs w:val="18"/>
          <w:color w:val="auto"/>
        </w:rPr>
        <w:t>Borrowing received after 1:00 p.m. shall be deemed received on the next Business Day.</w:t>
      </w:r>
      <w:r>
        <w:rPr>
          <w:sz w:val="20"/>
          <w:szCs w:val="20"/>
          <w:color w:val="auto"/>
        </w:rPr>
        <w:tab/>
      </w:r>
      <w:r>
        <w:rPr>
          <w:rFonts w:ascii="Arial" w:cs="Arial" w:eastAsia="Arial" w:hAnsi="Arial"/>
          <w:sz w:val="16"/>
          <w:szCs w:val="16"/>
          <w:color w:val="auto"/>
        </w:rPr>
        <w:t>The Administrative Agent</w:t>
      </w:r>
    </w:p>
    <w:p>
      <w:pPr>
        <w:spacing w:after="0" w:line="25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4"/>
          </w:cols>
          <w:pgMar w:left="356" w:top="611" w:right="239" w:bottom="1440" w:gutter="0" w:footer="0" w:header="0"/>
        </w:sectPr>
      </w:pPr>
    </w:p>
    <w:bookmarkStart w:id="106" w:name="page107"/>
    <w:bookmarkEnd w:id="106"/>
    <w:p>
      <w:pPr>
        <w:ind w:left="40"/>
        <w:spacing w:after="0"/>
        <w:rPr>
          <w:sz w:val="20"/>
          <w:szCs w:val="20"/>
          <w:color w:val="auto"/>
        </w:rPr>
      </w:pPr>
      <w:r>
        <w:rPr>
          <w:rFonts w:ascii="Arial" w:cs="Arial" w:eastAsia="Arial" w:hAnsi="Arial"/>
          <w:sz w:val="18"/>
          <w:szCs w:val="18"/>
          <w:color w:val="auto"/>
        </w:rPr>
        <w:t>shall promptly notify the Revolving Credit Lenders of each Notice of Borrowing.</w:t>
      </w:r>
    </w:p>
    <w:p>
      <w:pPr>
        <w:spacing w:after="0" w:line="239" w:lineRule="exact"/>
        <w:rPr>
          <w:sz w:val="20"/>
          <w:szCs w:val="20"/>
          <w:color w:val="auto"/>
        </w:rPr>
      </w:pPr>
    </w:p>
    <w:p>
      <w:pPr>
        <w:jc w:val="both"/>
        <w:ind w:left="40" w:firstLine="644"/>
        <w:spacing w:after="0" w:line="287" w:lineRule="auto"/>
        <w:tabs>
          <w:tab w:leader="none" w:pos="109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Disbursement of Revolving Credit and Swingline Loans.</w:t>
      </w:r>
      <w:r>
        <w:rPr>
          <w:rFonts w:ascii="Arial" w:cs="Arial" w:eastAsia="Arial" w:hAnsi="Arial"/>
          <w:sz w:val="16"/>
          <w:szCs w:val="16"/>
          <w:color w:val="auto"/>
        </w:rPr>
        <w:t xml:space="preserve"> Not later than 1:00 p.m. on the proposed borrowing date, (i) each Revolving Credit Lender will make available to the Administrative Agent, for the account of the Borrower, at the office of the Administrative Agent in funds immediately available to the Administrative Agent, such Revolving Credit Lender’s Revolving Credit Commitment Percentage of the Revolving Credit Loans to be made on such borrowing date and (ii) the Swingline Lender will make available to the Administrative Agent, for the account of the Borrower, at the office of the Administrative Agent in funds immediately available to the Administrative Agent, the Swingline Loans to be made on such borrowing date. The Borrower hereby irrevocably authorizes the Administrative Agent to disburse the proceeds of each borrowing requested pursuant to this Section in immediately available funds by crediting or wiring such proceeds to the deposit account of the Borrower identified in the most recent notice substantially in the form attached as </w:t>
      </w:r>
      <w:r>
        <w:rPr>
          <w:rFonts w:ascii="Arial" w:cs="Arial" w:eastAsia="Arial" w:hAnsi="Arial"/>
          <w:sz w:val="16"/>
          <w:szCs w:val="16"/>
          <w:b w:val="1"/>
          <w:bCs w:val="1"/>
          <w:i w:val="1"/>
          <w:iCs w:val="1"/>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Account Designation”</w:t>
      </w:r>
      <w:r>
        <w:rPr>
          <w:rFonts w:ascii="Arial" w:cs="Arial" w:eastAsia="Arial" w:hAnsi="Arial"/>
          <w:sz w:val="16"/>
          <w:szCs w:val="16"/>
          <w:color w:val="auto"/>
        </w:rPr>
        <w:t xml:space="preserve">) delivered by the Borrower to the Administrative Agent or as may be otherwise agreed upon by the Borrower and the Administrative Agent from time to time. Subject to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6"/>
          <w:szCs w:val="16"/>
          <w:u w:val="single" w:color="auto"/>
          <w:color w:val="auto"/>
        </w:rPr>
        <w:t>Section 2.2(b).</w:t>
      </w:r>
    </w:p>
    <w:p>
      <w:pPr>
        <w:spacing w:after="0" w:line="223" w:lineRule="exact"/>
        <w:rPr>
          <w:sz w:val="20"/>
          <w:szCs w:val="20"/>
          <w:color w:val="auto"/>
        </w:rPr>
      </w:pPr>
    </w:p>
    <w:p>
      <w:pPr>
        <w:ind w:left="680"/>
        <w:spacing w:after="0"/>
        <w:tabs>
          <w:tab w:leader="none" w:pos="18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Repayment and Prepayment of Revolving Credit and Swingline Loans.</w:t>
      </w:r>
    </w:p>
    <w:p>
      <w:pPr>
        <w:spacing w:after="0" w:line="252" w:lineRule="exact"/>
        <w:rPr>
          <w:sz w:val="20"/>
          <w:szCs w:val="20"/>
          <w:color w:val="auto"/>
        </w:rPr>
      </w:pPr>
    </w:p>
    <w:p>
      <w:pPr>
        <w:ind w:left="40" w:firstLine="644"/>
        <w:spacing w:after="0" w:line="282" w:lineRule="auto"/>
        <w:tabs>
          <w:tab w:leader="none" w:pos="1428"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Repayment on Termination Date.</w:t>
      </w:r>
      <w:r>
        <w:rPr>
          <w:rFonts w:ascii="Arial" w:cs="Arial" w:eastAsia="Arial" w:hAnsi="Arial"/>
          <w:sz w:val="18"/>
          <w:szCs w:val="18"/>
          <w:color w:val="auto"/>
        </w:rPr>
        <w:t xml:space="preserve"> The Borrower hereby agrees to repay the outstanding principal amount of (i) all Revolving Credit Loans in full on the Revolving Credit Maturity Date, and</w:t>
      </w:r>
    </w:p>
    <w:p>
      <w:pPr>
        <w:ind w:left="40" w:right="120" w:hanging="4"/>
        <w:spacing w:after="0" w:line="276" w:lineRule="auto"/>
        <w:tabs>
          <w:tab w:leader="none" w:pos="3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all Swingline Loans in accordance with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(but, in any event, no later than the Revolving Credit Maturity Date), together, in each case, with all accrued but unpaid interest thereon.</w:t>
      </w:r>
    </w:p>
    <w:p>
      <w:pPr>
        <w:spacing w:after="0" w:line="211" w:lineRule="exact"/>
        <w:rPr>
          <w:rFonts w:ascii="Arial" w:cs="Arial" w:eastAsia="Arial" w:hAnsi="Arial"/>
          <w:sz w:val="18"/>
          <w:szCs w:val="18"/>
          <w:color w:val="auto"/>
        </w:rPr>
      </w:pPr>
    </w:p>
    <w:p>
      <w:pPr>
        <w:jc w:val="both"/>
        <w:ind w:left="40" w:firstLine="644"/>
        <w:spacing w:after="0" w:line="323" w:lineRule="auto"/>
        <w:tabs>
          <w:tab w:leader="none" w:pos="1438" w:val="left"/>
        </w:tabs>
        <w:numPr>
          <w:ilvl w:val="2"/>
          <w:numId w:val="70"/>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xml:space="preserve"> If at any time the Revolving Credit Outstandings exceed the Revolving Credit Commitment, the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principal amount of outstanding Swingline Loans,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principal amount of outstanding Revolving Credit Loans and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in accordance with </w:t>
      </w:r>
      <w:r>
        <w:rPr>
          <w:rFonts w:ascii="Arial" w:cs="Arial" w:eastAsia="Arial" w:hAnsi="Arial"/>
          <w:sz w:val="17"/>
          <w:szCs w:val="17"/>
          <w:u w:val="single" w:color="auto"/>
          <w:color w:val="auto"/>
        </w:rPr>
        <w:t>Section 10.2(b))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7"/>
        <w:spacing w:after="0" w:line="334" w:lineRule="auto"/>
        <w:tabs>
          <w:tab w:leader="none" w:pos="1402"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may at any time and from time to time prepay Revolving Credit Loans and Swingline Loans, in whole or in part, with irrevocable prior written notice to the Administrative Agent substantially in the form attached as </w:t>
      </w:r>
      <w:r>
        <w:rPr>
          <w:rFonts w:ascii="Arial" w:cs="Arial" w:eastAsia="Arial" w:hAnsi="Arial"/>
          <w:sz w:val="16"/>
          <w:szCs w:val="16"/>
          <w:b w:val="1"/>
          <w:bCs w:val="1"/>
          <w:i w:val="1"/>
          <w:iCs w:val="1"/>
          <w:color w:val="auto"/>
        </w:rPr>
        <w:t>Exhibit 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Prepayment”</w:t>
      </w:r>
      <w:r>
        <w:rPr>
          <w:rFonts w:ascii="Arial" w:cs="Arial" w:eastAsia="Arial" w:hAnsi="Arial"/>
          <w:sz w:val="16"/>
          <w:szCs w:val="16"/>
          <w:color w:val="auto"/>
        </w:rPr>
        <w:t>) given not later than 11:00 a.m. (i) on the same Business Day as each Base Rate Loan and each Swingline Loan and (ii) at least three (3) Business Days before each LIBOR Rate Loan, specifying the date and amount of prepayment and whether the prepayment is of LIBOR Rate Loans, Base Rate Loans,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w:t>
      </w:r>
    </w:p>
    <w:p>
      <w:pPr>
        <w:spacing w:after="0" w:line="3" w:lineRule="exact"/>
        <w:rPr>
          <w:rFonts w:ascii="Arial" w:cs="Arial" w:eastAsia="Arial" w:hAnsi="Arial"/>
          <w:sz w:val="16"/>
          <w:szCs w:val="16"/>
          <w:color w:val="auto"/>
        </w:rPr>
      </w:pPr>
    </w:p>
    <w:p>
      <w:pPr>
        <w:ind w:left="40" w:right="1700" w:hanging="27"/>
        <w:spacing w:after="0" w:line="324" w:lineRule="auto"/>
        <w:rPr>
          <w:rFonts w:ascii="Arial" w:cs="Arial" w:eastAsia="Arial" w:hAnsi="Arial"/>
          <w:sz w:val="16"/>
          <w:szCs w:val="16"/>
          <w:color w:val="auto"/>
        </w:rPr>
      </w:pPr>
      <w:r>
        <w:rPr>
          <w:rFonts w:ascii="Arial" w:cs="Arial" w:eastAsia="Arial" w:hAnsi="Arial"/>
          <w:sz w:val="17"/>
          <w:szCs w:val="17"/>
          <w:color w:val="auto"/>
        </w:rPr>
        <w:t>payable on the date set forth in such notice. Partial prepayments shall be in an aggregate amount of $3,000,000 or a whole multiple of $1,000,000 in excess thereof with respect to Base Rate Loans (other than Swingline Loans), $5,000,000</w:t>
      </w:r>
    </w:p>
    <w:p>
      <w:pPr>
        <w:spacing w:after="0" w:line="202" w:lineRule="exact"/>
        <w:rPr>
          <w:sz w:val="20"/>
          <w:szCs w:val="20"/>
          <w:color w:val="auto"/>
        </w:rPr>
      </w:pPr>
    </w:p>
    <w:p>
      <w:pPr>
        <w:jc w:val="both"/>
        <w:ind w:left="40"/>
        <w:spacing w:after="0" w:line="255" w:lineRule="auto"/>
        <w:rPr>
          <w:sz w:val="20"/>
          <w:szCs w:val="20"/>
          <w:color w:val="auto"/>
        </w:rPr>
      </w:pPr>
      <w:r>
        <w:rPr>
          <w:rFonts w:ascii="Arial" w:cs="Arial" w:eastAsia="Arial" w:hAnsi="Arial"/>
          <w:sz w:val="18"/>
          <w:szCs w:val="18"/>
          <w:color w:val="auto"/>
        </w:rPr>
        <w:t xml:space="preserve">or a whole multiple of $1,000,000 in excess thereof with respect to LIBOR Rate Loans and $500,000 or a whole multiple of $100,000 in excess thereof with respect to Swingline Loans. A Notice of Prepayment received after 11:00 a.m. shall be deemed received on the next Business Day. Each such 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 Notwithstanding the foregoing, any Notice of a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 in the event such refinancing is not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such contingency shall not relieve the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16" w:lineRule="exact"/>
        <w:rPr>
          <w:sz w:val="20"/>
          <w:szCs w:val="20"/>
          <w:color w:val="auto"/>
        </w:rPr>
      </w:pPr>
    </w:p>
    <w:p>
      <w:pPr>
        <w:jc w:val="both"/>
        <w:ind w:left="40" w:firstLine="644"/>
        <w:spacing w:after="0" w:line="306" w:lineRule="auto"/>
        <w:tabs>
          <w:tab w:leader="none" w:pos="143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Prepayment of Excess Proceeds.</w:t>
      </w:r>
      <w:r>
        <w:rPr>
          <w:rFonts w:ascii="Arial" w:cs="Arial" w:eastAsia="Arial" w:hAnsi="Arial"/>
          <w:sz w:val="18"/>
          <w:szCs w:val="18"/>
          <w:color w:val="auto"/>
        </w:rPr>
        <w:t xml:space="preserve"> In the event proceeds remain after the prepayments of Term Loan Facility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the amount of such excess proceeds shall be used on the date of the required prepayment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to prepay the outstanding principal amount of the Revolving Credit Loans, without a corresponding reduction of the Revolving Credit Commitment, with remaining proceeds, if any, refunded to the Borrower.</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320" w:top="652" w:right="239" w:bottom="1440" w:gutter="0" w:footer="0" w:header="0"/>
        </w:sectPr>
      </w:pPr>
    </w:p>
    <w:bookmarkStart w:id="107" w:name="page108"/>
    <w:bookmarkEnd w:id="107"/>
    <w:p>
      <w:pPr>
        <w:ind w:firstLine="644"/>
        <w:spacing w:after="0" w:line="395" w:lineRule="auto"/>
        <w:tabs>
          <w:tab w:leader="none" w:pos="138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Limitation on Prepayment of LIBOR Rate Loans.</w:t>
      </w:r>
      <w:r>
        <w:rPr>
          <w:rFonts w:ascii="Arial" w:cs="Arial" w:eastAsia="Arial" w:hAnsi="Arial"/>
          <w:sz w:val="16"/>
          <w:szCs w:val="16"/>
          <w:color w:val="auto"/>
        </w:rPr>
        <w:t xml:space="preserve"> The Borrower may not prepay any LIBOR Rate Loan on any day other than on the last day of the Interest Period applicable thereto unless such prepayment is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w:t>
      </w:r>
    </w:p>
    <w:p>
      <w:pPr>
        <w:spacing w:after="0" w:line="123" w:lineRule="exact"/>
        <w:rPr>
          <w:rFonts w:ascii="Arial" w:cs="Arial" w:eastAsia="Arial" w:hAnsi="Arial"/>
          <w:sz w:val="16"/>
          <w:szCs w:val="16"/>
          <w:color w:val="auto"/>
        </w:rPr>
      </w:pPr>
    </w:p>
    <w:p>
      <w:pPr>
        <w:ind w:firstLine="644"/>
        <w:spacing w:after="0" w:line="324" w:lineRule="auto"/>
        <w:tabs>
          <w:tab w:leader="none" w:pos="13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xml:space="preserve"> No repayment or prepayment of the Loans pursuant to this Section shall affect any of the Borrower’s obligations under any Hedge Agreement entered into with respect to the Loans.</w:t>
      </w:r>
    </w:p>
    <w:p>
      <w:pPr>
        <w:spacing w:after="0" w:line="157"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Permanent Reduction of the Revolving Credit Commitment.</w:t>
      </w:r>
    </w:p>
    <w:p>
      <w:pPr>
        <w:spacing w:after="0" w:line="252" w:lineRule="exact"/>
        <w:rPr>
          <w:sz w:val="20"/>
          <w:szCs w:val="20"/>
          <w:color w:val="auto"/>
        </w:rPr>
      </w:pPr>
    </w:p>
    <w:p>
      <w:pPr>
        <w:jc w:val="both"/>
        <w:ind w:firstLine="644"/>
        <w:spacing w:after="0" w:line="319" w:lineRule="auto"/>
        <w:tabs>
          <w:tab w:leader="none" w:pos="1388"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Voluntary Reduction.</w:t>
      </w:r>
      <w:r>
        <w:rPr>
          <w:rFonts w:ascii="Arial" w:cs="Arial" w:eastAsia="Arial" w:hAnsi="Arial"/>
          <w:sz w:val="17"/>
          <w:szCs w:val="17"/>
          <w:color w:val="auto"/>
        </w:rPr>
        <w:t xml:space="preserve"> The Borrower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 the Revolving Credit Commitment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 in the event such refinancing is not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such contingency shall not relieve the Borrower from its obligations in respect thereof under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firstLine="644"/>
        <w:spacing w:after="0" w:line="302" w:lineRule="auto"/>
        <w:tabs>
          <w:tab w:leader="none" w:pos="139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Corresponding Payment.</w:t>
      </w:r>
      <w:r>
        <w:rPr>
          <w:rFonts w:ascii="Arial" w:cs="Arial" w:eastAsia="Arial" w:hAnsi="Arial"/>
          <w:sz w:val="18"/>
          <w:szCs w:val="18"/>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Any reduction of the Revolving Credit Commitment to zero shall be accompanied by payment of all outstanding Revolving Credit Loans and Swingline Loans (and furnishing of Cash Collateral satisfactory to the Administrative</w:t>
      </w:r>
    </w:p>
    <w:p>
      <w:pPr>
        <w:spacing w:after="0" w:line="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Agent for all L/C Obligations) and shall result in the termination of the Revolving Credit Commitment and the Swingline Commitment and the Revolving Credit Facility. If the reduction of the Revolving Credit Commitment requires the repayment of any LIBOR Rate Loan, such 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w:t>
      </w:r>
    </w:p>
    <w:p>
      <w:pPr>
        <w:spacing w:after="0" w:line="23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Termination of Revolving Credit Facility.</w:t>
      </w:r>
      <w:r>
        <w:rPr>
          <w:rFonts w:ascii="Arial" w:cs="Arial" w:eastAsia="Arial" w:hAnsi="Arial"/>
          <w:sz w:val="18"/>
          <w:szCs w:val="18"/>
          <w:color w:val="auto"/>
        </w:rPr>
        <w:t xml:space="preserve"> The Revolving Credit Facility and the Revolving Credit Commitments shall terminate on the Revolving Credit Maturity Date.</w:t>
      </w:r>
    </w:p>
    <w:p>
      <w:pPr>
        <w:spacing w:after="0" w:line="1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LETTER OF CREDIT FACILITY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L/C Facility</w:t>
      </w:r>
      <w:r>
        <w:rPr>
          <w:rFonts w:ascii="Arial" w:cs="Arial" w:eastAsia="Arial" w:hAnsi="Arial"/>
          <w:sz w:val="18"/>
          <w:szCs w:val="18"/>
          <w:color w:val="auto"/>
        </w:rPr>
        <w:t>.</w:t>
      </w:r>
    </w:p>
    <w:p>
      <w:pPr>
        <w:spacing w:after="0" w:line="252" w:lineRule="exact"/>
        <w:rPr>
          <w:sz w:val="20"/>
          <w:szCs w:val="20"/>
          <w:color w:val="auto"/>
        </w:rPr>
      </w:pPr>
    </w:p>
    <w:p>
      <w:pPr>
        <w:jc w:val="both"/>
        <w:ind w:firstLine="644"/>
        <w:spacing w:after="0" w:line="318" w:lineRule="auto"/>
        <w:tabs>
          <w:tab w:leader="none" w:pos="138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Subject to the terms and conditions hereof, each Issuing Lender, in reliance on the agreements of the Revolving Credit Lenders set forth in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agrees to issue standby Letters of Credit in an aggregate amount not to exceed its L/C Commitment for the account of the Borrower or, subject to Section 3.10, any Subsidiary thereof, Letters of Credit may be issued on any Business Day from the Closing Date through but not including the fifth (5th) Business Day prior to the Revolving Credit Maturity Date in such form as may be approved from time to time by the applicable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Lender shall issue any Letter of Credit if, after giving effect to such issuance, (a) the L/C Obligations would exceed the L/C Sublimit or (b) the Revolving Credit Outstandings would exceed the Revolving Credit Commitment. Each Letter of Credit shall (i) be denominated in Dollars, (ii)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which date shall be no later than the fifth (5th) Business Day prior to the Revolving Credit Maturity Date and (iii) be subject to the ISP98 as set forth in the Letter of Credit Application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or arbitrator shall by its terms purport to enjoin</w:t>
      </w:r>
    </w:p>
    <w:p>
      <w:pPr>
        <w:sectPr>
          <w:pgSz w:w="11900" w:h="16838" w:orient="portrait"/>
          <w:cols w:equalWidth="0" w:num="1">
            <w:col w:w="11300"/>
          </w:cols>
          <w:pgMar w:left="360" w:top="611" w:right="239" w:bottom="1440" w:gutter="0" w:footer="0" w:header="0"/>
        </w:sectPr>
      </w:pP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00"/>
          </w:cols>
          <w:pgMar w:left="360" w:top="611" w:right="239" w:bottom="1440" w:gutter="0" w:footer="0" w:header="0"/>
          <w:type w:val="continuous"/>
        </w:sectPr>
      </w:pPr>
    </w:p>
    <w:bookmarkStart w:id="108" w:name="page109"/>
    <w:bookmarkEnd w:id="108"/>
    <w:p>
      <w:pPr>
        <w:jc w:val="both"/>
        <w:spacing w:after="0" w:line="320" w:lineRule="auto"/>
        <w:rPr>
          <w:sz w:val="20"/>
          <w:szCs w:val="20"/>
          <w:color w:val="auto"/>
        </w:rPr>
      </w:pPr>
      <w:r>
        <w:rPr>
          <w:rFonts w:ascii="Arial" w:cs="Arial" w:eastAsia="Arial" w:hAnsi="Arial"/>
          <w:sz w:val="17"/>
          <w:szCs w:val="17"/>
          <w:color w:val="auto"/>
        </w:rPr>
        <w:t xml:space="preserve">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or known to such Issuing Lender as of the Closing Date and that such Issuing Lender in good faith deems material to it, or (C) the conditions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not satisfied.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80" w:lineRule="exact"/>
        <w:rPr>
          <w:sz w:val="20"/>
          <w:szCs w:val="20"/>
          <w:color w:val="auto"/>
        </w:rPr>
      </w:pPr>
    </w:p>
    <w:p>
      <w:pPr>
        <w:ind w:firstLine="644"/>
        <w:spacing w:after="0" w:line="324" w:lineRule="auto"/>
        <w:tabs>
          <w:tab w:leader="none" w:pos="139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Procedure for Issuance of Letters of Credit.</w:t>
      </w:r>
      <w:r>
        <w:rPr>
          <w:rFonts w:ascii="Arial" w:cs="Arial" w:eastAsia="Arial" w:hAnsi="Arial"/>
          <w:sz w:val="17"/>
          <w:szCs w:val="17"/>
          <w:color w:val="auto"/>
        </w:rPr>
        <w:t xml:space="preserve"> The Borrower may from time to time request that any Issuing Lender issue a Letter of Credit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Borrower. The applicable Issuing Lender shall promptly furnish to the Borrower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80"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Commissions and Other Charges.</w:t>
      </w:r>
    </w:p>
    <w:p>
      <w:pPr>
        <w:spacing w:after="0" w:line="252" w:lineRule="exact"/>
        <w:rPr>
          <w:sz w:val="20"/>
          <w:szCs w:val="20"/>
          <w:color w:val="auto"/>
        </w:rPr>
      </w:pPr>
    </w:p>
    <w:p>
      <w:pPr>
        <w:jc w:val="both"/>
        <w:ind w:firstLine="644"/>
        <w:spacing w:after="0" w:line="322" w:lineRule="auto"/>
        <w:tabs>
          <w:tab w:leader="none" w:pos="138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Letter of Credit Commissions.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5.15(a)(iii)(B),</w:t>
      </w:r>
      <w:r>
        <w:rPr>
          <w:rFonts w:ascii="Arial" w:cs="Arial" w:eastAsia="Arial" w:hAnsi="Arial"/>
          <w:sz w:val="17"/>
          <w:szCs w:val="17"/>
          <w:color w:val="auto"/>
        </w:rPr>
        <w:t xml:space="preserve"> the Borrower shall pay to the Administrative Agent, for the account of the applicable Issuing Lender and the L/C Participants, a letter of credit commission with respect to each Letter of Credit in the amount equal to the daily amount available to be drawn under such standby Letters of Credit times the Applicable Margin with respect to Revolving Credit Loans that are LIBOR Rate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in accordance with their respective Revolving Credit Commitment Percentages.</w:t>
      </w:r>
    </w:p>
    <w:p>
      <w:pPr>
        <w:spacing w:after="0" w:line="176" w:lineRule="exact"/>
        <w:rPr>
          <w:rFonts w:ascii="Arial" w:cs="Arial" w:eastAsia="Arial" w:hAnsi="Arial"/>
          <w:sz w:val="17"/>
          <w:szCs w:val="17"/>
          <w:color w:val="auto"/>
        </w:rPr>
      </w:pPr>
    </w:p>
    <w:p>
      <w:pPr>
        <w:jc w:val="both"/>
        <w:ind w:firstLine="644"/>
        <w:spacing w:after="0" w:line="354" w:lineRule="auto"/>
        <w:tabs>
          <w:tab w:leader="none" w:pos="139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Issuance Fee.</w:t>
      </w:r>
      <w:r>
        <w:rPr>
          <w:rFonts w:ascii="Arial" w:cs="Arial" w:eastAsia="Arial" w:hAnsi="Arial"/>
          <w:sz w:val="16"/>
          <w:szCs w:val="16"/>
          <w:color w:val="auto"/>
        </w:rPr>
        <w:t xml:space="preserve"> In addition to the foregoing commission, the Borrower shall pay directly to the applicable Issuing Lender, for its own account, an issuance fee with respect to each Letter of Credit issued by such Issuing Lender as set forth in the Fee Letter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w:t>
      </w:r>
    </w:p>
    <w:p>
      <w:pPr>
        <w:spacing w:after="0" w:line="156" w:lineRule="exact"/>
        <w:rPr>
          <w:rFonts w:ascii="Arial" w:cs="Arial" w:eastAsia="Arial" w:hAnsi="Arial"/>
          <w:sz w:val="16"/>
          <w:szCs w:val="16"/>
          <w:color w:val="auto"/>
        </w:rPr>
      </w:pPr>
    </w:p>
    <w:p>
      <w:pPr>
        <w:jc w:val="both"/>
        <w:ind w:firstLine="644"/>
        <w:spacing w:after="0" w:line="311" w:lineRule="auto"/>
        <w:tabs>
          <w:tab w:leader="none" w:pos="138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Other Fees, Costs, Charges and Expenses.</w:t>
      </w:r>
      <w:r>
        <w:rPr>
          <w:rFonts w:ascii="Arial" w:cs="Arial" w:eastAsia="Arial" w:hAnsi="Arial"/>
          <w:sz w:val="18"/>
          <w:szCs w:val="18"/>
          <w:color w:val="auto"/>
        </w:rPr>
        <w:t xml:space="preserve"> In addition to the foregoing fees and commissions, the Borrower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54"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L/C Participations.</w:t>
      </w:r>
    </w:p>
    <w:p>
      <w:pPr>
        <w:spacing w:after="0" w:line="252" w:lineRule="exact"/>
        <w:rPr>
          <w:sz w:val="20"/>
          <w:szCs w:val="20"/>
          <w:color w:val="auto"/>
        </w:rPr>
      </w:pPr>
    </w:p>
    <w:p>
      <w:pPr>
        <w:jc w:val="both"/>
        <w:ind w:firstLine="644"/>
        <w:spacing w:after="0" w:line="306" w:lineRule="auto"/>
        <w:tabs>
          <w:tab w:leader="none" w:pos="1388"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360" w:top="611" w:right="239" w:bottom="1440" w:gutter="0" w:footer="0" w:header="0"/>
        </w:sectPr>
      </w:pPr>
    </w:p>
    <w:bookmarkStart w:id="109" w:name="page110"/>
    <w:bookmarkEnd w:id="109"/>
    <w:p>
      <w:pPr>
        <w:ind w:left="4"/>
        <w:spacing w:after="0"/>
        <w:rPr>
          <w:sz w:val="20"/>
          <w:szCs w:val="20"/>
          <w:color w:val="auto"/>
        </w:rPr>
      </w:pPr>
      <w:r>
        <w:rPr>
          <w:rFonts w:ascii="Arial" w:cs="Arial" w:eastAsia="Arial" w:hAnsi="Arial"/>
          <w:sz w:val="18"/>
          <w:szCs w:val="18"/>
          <w:color w:val="auto"/>
        </w:rPr>
        <w:t>Issuing</w:t>
      </w:r>
    </w:p>
    <w:p>
      <w:pPr>
        <w:spacing w:after="0" w:line="306"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220" w:lineRule="exact"/>
        <w:rPr>
          <w:sz w:val="20"/>
          <w:szCs w:val="20"/>
          <w:color w:val="auto"/>
        </w:rPr>
      </w:pPr>
    </w:p>
    <w:p>
      <w:pPr>
        <w:jc w:val="both"/>
        <w:ind w:left="4" w:firstLine="644"/>
        <w:spacing w:after="0" w:line="334" w:lineRule="auto"/>
        <w:tabs>
          <w:tab w:leader="none" w:pos="1402"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Upon becoming aware of any amount required to be paid by any L/C Participant to any Issuing Lender pursuant to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w:t>
      </w:r>
    </w:p>
    <w:p>
      <w:pPr>
        <w:spacing w:after="0" w:line="6" w:lineRule="exact"/>
        <w:rPr>
          <w:rFonts w:ascii="Arial" w:cs="Arial" w:eastAsia="Arial" w:hAnsi="Arial"/>
          <w:sz w:val="16"/>
          <w:szCs w:val="16"/>
          <w:color w:val="auto"/>
        </w:rPr>
      </w:pPr>
    </w:p>
    <w:p>
      <w:pPr>
        <w:ind w:left="284" w:hanging="284"/>
        <w:spacing w:after="0"/>
        <w:tabs>
          <w:tab w:leader="none" w:pos="28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after 1:00 p.m. on any Business Day, such payment shall be due on the following Business Day.</w:t>
      </w:r>
    </w:p>
    <w:p>
      <w:pPr>
        <w:spacing w:after="0" w:line="265" w:lineRule="exact"/>
        <w:rPr>
          <w:rFonts w:ascii="Arial" w:cs="Arial" w:eastAsia="Arial" w:hAnsi="Arial"/>
          <w:sz w:val="18"/>
          <w:szCs w:val="18"/>
          <w:color w:val="auto"/>
        </w:rPr>
      </w:pPr>
    </w:p>
    <w:p>
      <w:pPr>
        <w:jc w:val="both"/>
        <w:ind w:left="4" w:firstLine="644"/>
        <w:spacing w:after="0" w:line="302" w:lineRule="auto"/>
        <w:tabs>
          <w:tab w:leader="none" w:pos="13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Borrower or otherwise), or any payment of interest on account thereof, such Issuing Lender will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66"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Reimbursement Obligation of the Borrower.</w:t>
      </w:r>
      <w:r>
        <w:rPr>
          <w:rFonts w:ascii="Arial" w:cs="Arial" w:eastAsia="Arial" w:hAnsi="Arial"/>
          <w:sz w:val="17"/>
          <w:szCs w:val="17"/>
          <w:color w:val="auto"/>
        </w:rPr>
        <w:t xml:space="preserve"> In the event of any drawing under any Letter of Credit, the Borrower agrees to reimburse (either with the proceeds of a Revolving Credit Loan as provided for in this Section or with funds from other sources), in same day funds, the applicable Issuing Lender on each date on which such Issuing Lender notifies the Borrower of the date and amount of a draft paid by it under any Letter of Credit for the amount of (a) such draft so paid and (b) any amounts referred to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incurred by such Issuing Lender in connection with such payment. Unless the Borrower shall immediately notify such Issuing Lender that the Borrower intends to reimburse such Issuing Lender for such drawing from other sources or funds, the Borrower shall be deemed to have timely given a Notice of Borrowing to the Administrative Agent requesting that the Revolving Credit Lenders make a Revolving Credit Loan bearing interest at the Base Rate on the applicable repayment date in the amount of (i) such draft so paid and (ii) any amounts referred to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incurred by such Issuing Lender in connection with such payment, and the Revolving Credit Lenders shall make a Revolving Credit Loan bearing interest at the Base Rate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If the Borrower has elected to pay the amount of such drawing with funds from other sources and shall fail to reimburse such Issuing Lender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81"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(including, without limitation, the Reimbursement Obligation) shall be absolute and unconditional under any and all circumstances and irrespective of any set off, counterclaim or defense to payment which the Borrower may have or have had against the applicable Issuing Lender or any beneficiary of a Letter of Credit or any other Person. The Borrower also agrees that the applicable Issuing Lender</w:t>
      </w:r>
    </w:p>
    <w:p>
      <w:pPr>
        <w:spacing w:after="0" w:line="21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4"/>
          </w:cols>
          <w:pgMar w:left="356" w:top="611" w:right="239" w:bottom="1440" w:gutter="0" w:footer="0" w:header="0"/>
        </w:sectPr>
      </w:pPr>
    </w:p>
    <w:bookmarkStart w:id="110" w:name="page111"/>
    <w:bookmarkEnd w:id="110"/>
    <w:p>
      <w:pPr>
        <w:jc w:val="both"/>
        <w:spacing w:after="0" w:line="287" w:lineRule="auto"/>
        <w:rPr>
          <w:sz w:val="20"/>
          <w:szCs w:val="20"/>
          <w:color w:val="auto"/>
        </w:rPr>
      </w:pPr>
      <w:r>
        <w:rPr>
          <w:rFonts w:ascii="Arial" w:cs="Arial" w:eastAsia="Arial" w:hAnsi="Arial"/>
          <w:sz w:val="16"/>
          <w:szCs w:val="16"/>
          <w:color w:val="auto"/>
        </w:rPr>
        <w:t xml:space="preserve">and the L/C Participants shall not be responsible for, and the Borrower’s Reimbursement Obligation under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bad faith, gross negligence or willful misconduct, as determined by a court of competent jurisdiction by final nonappealable judgment. The Borrower agrees that any action taken or omitted by any Issuing Lender under or in connection with any Letter of Credit issued by it or the related drafts or documents, if done in the absence of bad faith, gross negligence or willful misconduct shall be binding on the Borrower and shall not result in any liability of such Issuing Lender or any L/C Participant to the Borrower. The responsibility of any Issuing Lender to the Borrower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Effect of Letter of Credit Application.</w:t>
      </w:r>
      <w:r>
        <w:rPr>
          <w:rFonts w:ascii="Arial" w:cs="Arial" w:eastAsia="Arial" w:hAnsi="Arial"/>
          <w:sz w:val="18"/>
          <w:szCs w:val="18"/>
          <w:color w:val="auto"/>
        </w:rPr>
        <w:t xml:space="preserve"> To the extent that any provision of any Letter of Credit Application related to any Letter of Credit is inconsistent with the provisions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apply.</w:t>
      </w:r>
    </w:p>
    <w:p>
      <w:pPr>
        <w:spacing w:after="0" w:line="224"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Resignation of Issuing Lenders.</w:t>
      </w:r>
    </w:p>
    <w:p>
      <w:pPr>
        <w:spacing w:after="0" w:line="252" w:lineRule="exact"/>
        <w:rPr>
          <w:sz w:val="20"/>
          <w:szCs w:val="20"/>
          <w:color w:val="auto"/>
        </w:rPr>
      </w:pPr>
    </w:p>
    <w:p>
      <w:pPr>
        <w:ind w:firstLine="644"/>
        <w:spacing w:after="0" w:line="357" w:lineRule="auto"/>
        <w:tabs>
          <w:tab w:leader="none" w:pos="1388"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Lender may at any time resign from its role as an Issuing Lender hereunder upon not less than thirty (30) days prior notice to the Borrower and the Administrative Agent (or such shorter period of time as may be acceptable to the Borrower and the Administrative Agent).</w:t>
      </w:r>
    </w:p>
    <w:p>
      <w:pPr>
        <w:spacing w:after="0" w:line="161" w:lineRule="exact"/>
        <w:rPr>
          <w:rFonts w:ascii="Arial" w:cs="Arial" w:eastAsia="Arial" w:hAnsi="Arial"/>
          <w:sz w:val="17"/>
          <w:szCs w:val="17"/>
          <w:color w:val="auto"/>
        </w:rPr>
      </w:pPr>
    </w:p>
    <w:p>
      <w:pPr>
        <w:jc w:val="both"/>
        <w:ind w:firstLine="644"/>
        <w:spacing w:after="0" w:line="301" w:lineRule="auto"/>
        <w:tabs>
          <w:tab w:leader="none" w:pos="13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 without limitation, the right to require the Revolving Credit Lenders to take such actions as are required under </w:t>
      </w:r>
      <w:r>
        <w:rPr>
          <w:rFonts w:ascii="Arial" w:cs="Arial" w:eastAsia="Arial" w:hAnsi="Arial"/>
          <w:sz w:val="18"/>
          <w:szCs w:val="18"/>
          <w:u w:val="single" w:color="auto"/>
          <w:color w:val="auto"/>
        </w:rPr>
        <w:t>Section 3.4)</w:t>
      </w:r>
      <w:r>
        <w:rPr>
          <w:rFonts w:ascii="Arial" w:cs="Arial" w:eastAsia="Arial" w:hAnsi="Arial"/>
          <w:sz w:val="18"/>
          <w:szCs w:val="18"/>
          <w:color w:val="auto"/>
        </w:rPr>
        <w:t>. Without limiting the foregoing, upon the resignation of a Lender as an Issuing Lender hereunder, the Borrower may, or at the request of such resigned Issuing Lender the Borrower shall, use commercially reasonable efforts to, arrange for one or more of the other Issuing Lenders to issue Letters of Credit hereunder in substitution for the Letters of Credit, if any, issued by such resigned Issuing Lender and outstanding at the time of such resignation, or make other arrangements satisfactory to the resigned Issuing Lender to effectively cause another Issuing Lender to assume the obligations of the resigned Issuing Lender with respect to any such Letters of Credit.</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Reporting of Letter of Credit Information and L/C Commitment.</w:t>
      </w:r>
      <w:r>
        <w:rPr>
          <w:rFonts w:ascii="Arial" w:cs="Arial" w:eastAsia="Arial" w:hAnsi="Arial"/>
          <w:sz w:val="17"/>
          <w:szCs w:val="17"/>
          <w:color w:val="auto"/>
        </w:rPr>
        <w:t xml:space="preserve"> 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L/C Issuer to provide such information pursuant to this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shall limit the obligations of the Borrower or any Revolving Credit Lender hereunder with respect to its reimbursement and participation obligations hereunder.</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xml:space="preserve"> Notwithstanding that a Letter of Credit issued or outstanding hereunder is in support of any obligations of, or is for the account of, a Subsidiary, the Borrower shall be obligated to reimburse, or to cause the applicable Subsidiary to reimburse, the applicable Issuing Lender hereunder for any and all drawings under such Letter of Credit. The Borrower hereby acknowledges that the issuance of Letters of Credit for the account of any of its Subsidiaries inures to the benefit of the Borrower and that the Borrower’s business derives substantial benefits from the businesses of such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360" w:top="584" w:right="239" w:bottom="1440" w:gutter="0" w:footer="0" w:header="0"/>
        </w:sectPr>
      </w:pPr>
    </w:p>
    <w:bookmarkStart w:id="111" w:name="page112"/>
    <w:bookmarkEnd w:id="111"/>
    <w:p>
      <w:pPr>
        <w:ind w:left="6720"/>
        <w:spacing w:after="0"/>
        <w:rPr>
          <w:sz w:val="20"/>
          <w:szCs w:val="20"/>
          <w:color w:val="auto"/>
        </w:rPr>
      </w:pPr>
      <w:r>
        <w:rPr>
          <w:rFonts w:ascii="Arial" w:cs="Arial" w:eastAsia="Arial" w:hAnsi="Arial"/>
          <w:sz w:val="18"/>
          <w:szCs w:val="18"/>
          <w:color w:val="auto"/>
        </w:rPr>
        <w:t>ARTICLE IV</w:t>
      </w:r>
    </w:p>
    <w:p>
      <w:pPr>
        <w:spacing w:after="0" w:line="19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TERM LOAN FACILITYS</w:t>
      </w:r>
    </w:p>
    <w:p>
      <w:pPr>
        <w:spacing w:after="0" w:line="19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xml:space="preserve">ECTION 4.1 </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Subject to the terms and conditions of this Agreement and the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Loan Documents, and in reliance upon the representations and warranties set forth in this Agreement and the other Loan Documents, each Term Loan Lender severally agrees to make the Initial Term Loan to the Borrower on the Closing Date in a principal amount equal to such Lender’s Term Loan Commitment as of the Closing Date.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for Advance of Term Loan.</w:t>
      </w:r>
    </w:p>
    <w:p>
      <w:pPr>
        <w:spacing w:after="0" w:line="279" w:lineRule="exact"/>
        <w:rPr>
          <w:sz w:val="20"/>
          <w:szCs w:val="20"/>
          <w:color w:val="auto"/>
        </w:rPr>
      </w:pPr>
    </w:p>
    <w:p>
      <w:pPr>
        <w:jc w:val="both"/>
        <w:ind w:firstLine="644"/>
        <w:spacing w:after="0" w:line="276" w:lineRule="auto"/>
        <w:tabs>
          <w:tab w:leader="none" w:pos="106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Initial Term Loan.</w:t>
      </w:r>
      <w:r>
        <w:rPr>
          <w:rFonts w:ascii="Arial" w:cs="Arial" w:eastAsia="Arial" w:hAnsi="Arial"/>
          <w:sz w:val="17"/>
          <w:szCs w:val="17"/>
          <w:color w:val="auto"/>
        </w:rPr>
        <w:t xml:space="preserve"> The Borrower shall give the Administrative Agent an irrevocable Notice of Borrowing prior to 1:00 p.m. on the Closing Date requesting that the Term Loan Lenders make the Initial Term Loan as a Base Rate Loan on such date (provided that the Borrower may request, no later than three (3) Business Days prior to the Closing Date, that the Lenders make the Initial Term Loan as a LIBOR Rate Loan if the Borrower has delivered to the Administrative Agent a letter in form and substance reasonably satisfactory to the Administrative Agent indemnifying the Lenders in the manner set forth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this Agreement). Upon receipt of such Notice of Borrowing from the Borrower,</w:t>
      </w:r>
    </w:p>
    <w:p>
      <w:pPr>
        <w:spacing w:after="0" w:line="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Administrative Agent shall promptly notify each Term Loan Lender thereof. Not later than 3:00 p.m. on the Closing Date, each Term Loan Lender will make available to the Administrative Agent for the account of the Borrower, at the Administrative Agent’s Office in immediately available funds, the amount of such Initial Term Loan to be made by such Term Loan Lender on the Closing Date. The Borrower hereby irrevocably authorizes the Administrative Agent to disburse the proceeds of the Initial Term Loan in immediately available funds by wire transfer to such Person or Persons as may be designated by the Borrower in writing.</w:t>
      </w:r>
    </w:p>
    <w:p>
      <w:pPr>
        <w:spacing w:after="0" w:line="188" w:lineRule="exact"/>
        <w:rPr>
          <w:sz w:val="20"/>
          <w:szCs w:val="20"/>
          <w:color w:val="auto"/>
        </w:rPr>
      </w:pPr>
    </w:p>
    <w:p>
      <w:pPr>
        <w:ind w:left="640"/>
        <w:spacing w:after="0"/>
        <w:tabs>
          <w:tab w:leader="none" w:pos="3680" w:val="left"/>
        </w:tabs>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Incremental Term Loans.</w:t>
      </w:r>
      <w:r>
        <w:rPr>
          <w:sz w:val="20"/>
          <w:szCs w:val="20"/>
          <w:color w:val="auto"/>
        </w:rPr>
        <w:tab/>
      </w:r>
      <w:r>
        <w:rPr>
          <w:rFonts w:ascii="Arial" w:cs="Arial" w:eastAsia="Arial" w:hAnsi="Arial"/>
          <w:sz w:val="16"/>
          <w:szCs w:val="16"/>
          <w:color w:val="auto"/>
        </w:rPr>
        <w:t xml:space="preserve">Any Incremental Term Loans shall be borrowed pursuant to, and in accordance with </w:t>
      </w:r>
      <w:r>
        <w:rPr>
          <w:rFonts w:ascii="Arial" w:cs="Arial" w:eastAsia="Arial" w:hAnsi="Arial"/>
          <w:sz w:val="16"/>
          <w:szCs w:val="16"/>
          <w:u w:val="single" w:color="auto"/>
          <w:color w:val="auto"/>
        </w:rPr>
        <w:t>Section 5.13.</w:t>
      </w:r>
    </w:p>
    <w:p>
      <w:pPr>
        <w:spacing w:after="0" w:line="279"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Repayment of Term Loans.</w:t>
      </w:r>
    </w:p>
    <w:p>
      <w:pPr>
        <w:spacing w:after="0" w:line="252" w:lineRule="exact"/>
        <w:rPr>
          <w:sz w:val="20"/>
          <w:szCs w:val="20"/>
          <w:color w:val="auto"/>
        </w:rPr>
      </w:pPr>
    </w:p>
    <w:p>
      <w:pPr>
        <w:jc w:val="both"/>
        <w:ind w:firstLine="644"/>
        <w:spacing w:after="0" w:line="311" w:lineRule="auto"/>
        <w:tabs>
          <w:tab w:leader="none" w:pos="138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The Borrower shall repay the aggregate outstanding principal amount of the Initial Term Loan in consecutive quarterly installments on the last Business Day of each of March, June, September and December commencing December 31, 2014 as set forth below, except as the amounts of individual installments may be adjusted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hereof:</w:t>
      </w: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360" w:top="679" w:right="239" w:bottom="1440" w:gutter="0" w:footer="0" w:header="0"/>
        </w:sectPr>
      </w:pPr>
    </w:p>
    <w:bookmarkStart w:id="112" w:name="page113"/>
    <w:bookmarkEnd w:id="112"/>
    <w:p>
      <w:pPr>
        <w:ind w:left="2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1735455</wp:posOffset>
            </wp:positionH>
            <wp:positionV relativeFrom="page">
              <wp:posOffset>466090</wp:posOffset>
            </wp:positionV>
            <wp:extent cx="4098925" cy="3610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98925" cy="3610610"/>
                    </a:xfrm>
                    <a:prstGeom prst="rect">
                      <a:avLst/>
                    </a:prstGeom>
                    <a:noFill/>
                  </pic:spPr>
                </pic:pic>
              </a:graphicData>
            </a:graphic>
          </wp:anchor>
        </w:drawing>
        <w:t>FISCAL YEAR</w:t>
      </w:r>
    </w:p>
    <w:p>
      <w:pPr>
        <w:spacing w:after="0" w:line="34" w:lineRule="exact"/>
        <w:rPr>
          <w:sz w:val="20"/>
          <w:szCs w:val="20"/>
          <w:color w:val="auto"/>
        </w:rPr>
      </w:pPr>
    </w:p>
    <w:tbl>
      <w:tblPr>
        <w:tblLayout w:type="fixed"/>
        <w:tblInd w:w="2380" w:type="dxa"/>
        <w:tblCellMar>
          <w:top w:w="0" w:type="dxa"/>
          <w:left w:w="0" w:type="dxa"/>
          <w:bottom w:w="0" w:type="dxa"/>
          <w:right w:w="0" w:type="dxa"/>
        </w:tblCellMar>
      </w:tblPr>
      <w:tr>
        <w:trPr>
          <w:trHeight w:val="257"/>
        </w:trPr>
        <w:tc>
          <w:tcPr>
            <w:tcW w:w="2160" w:type="dxa"/>
            <w:vAlign w:val="bottom"/>
            <w:tcBorders>
              <w:top w:val="single" w:sz="8" w:color="auto"/>
              <w:right w:val="single" w:sz="8" w:color="auto"/>
            </w:tcBorders>
          </w:tcPr>
          <w:p>
            <w:pPr>
              <w:jc w:val="right"/>
              <w:ind w:right="810"/>
              <w:spacing w:after="0"/>
              <w:rPr>
                <w:sz w:val="20"/>
                <w:szCs w:val="20"/>
                <w:color w:val="auto"/>
              </w:rPr>
            </w:pPr>
            <w:r>
              <w:rPr>
                <w:rFonts w:ascii="Arial" w:cs="Arial" w:eastAsia="Arial" w:hAnsi="Arial"/>
                <w:sz w:val="18"/>
                <w:szCs w:val="18"/>
                <w:color w:val="auto"/>
              </w:rPr>
              <w:t>2014</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140" w:type="dxa"/>
            <w:vAlign w:val="bottom"/>
            <w:tcBorders>
              <w:top w:val="single" w:sz="8" w:color="auto"/>
            </w:tcBorders>
          </w:tcPr>
          <w:p>
            <w:pPr>
              <w:jc w:val="right"/>
              <w:ind w:right="1210"/>
              <w:spacing w:after="0"/>
              <w:rPr>
                <w:sz w:val="20"/>
                <w:szCs w:val="20"/>
                <w:color w:val="auto"/>
              </w:rPr>
            </w:pPr>
            <w:r>
              <w:rPr>
                <w:rFonts w:ascii="Arial" w:cs="Arial" w:eastAsia="Arial" w:hAnsi="Arial"/>
                <w:sz w:val="18"/>
                <w:szCs w:val="18"/>
                <w:color w:val="auto"/>
                <w:w w:val="90"/>
              </w:rPr>
              <w:t>$1,375,000</w:t>
            </w: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$1,375,000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June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$1,375,000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$1,375,000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2015</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$1,375,000</w:t>
            </w: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$1,375,000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June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$1,375,000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2016</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June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2017</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June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$2,062,500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$2,750,000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2018</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$2,750,000</w:t>
            </w: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31</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$2,750,000</w:t>
            </w:r>
          </w:p>
        </w:tc>
      </w:tr>
      <w:tr>
        <w:trPr>
          <w:trHeight w:val="27"/>
        </w:trPr>
        <w:tc>
          <w:tcPr>
            <w:tcW w:w="2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16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2019</w:t>
            </w:r>
          </w:p>
        </w:tc>
        <w:tc>
          <w:tcPr>
            <w:tcW w:w="21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June 30</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w w:val="90"/>
              </w:rPr>
              <w:t>$2,750,000</w:t>
            </w:r>
          </w:p>
        </w:tc>
      </w:tr>
      <w:tr>
        <w:trPr>
          <w:trHeight w:val="27"/>
        </w:trPr>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If not sooner paid, the Initial Term Loan shall be paid in full, together with accrued interest thereon, on the Term Loan Maturity Date.</w:t>
      </w:r>
    </w:p>
    <w:p>
      <w:pPr>
        <w:spacing w:after="0" w:line="266" w:lineRule="exact"/>
        <w:rPr>
          <w:sz w:val="20"/>
          <w:szCs w:val="20"/>
          <w:color w:val="auto"/>
        </w:rPr>
      </w:pPr>
    </w:p>
    <w:p>
      <w:pPr>
        <w:ind w:firstLine="644"/>
        <w:spacing w:after="0" w:line="324" w:lineRule="auto"/>
        <w:tabs>
          <w:tab w:leader="none" w:pos="139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The Borrower shall repay the aggregate outstanding principal amount of each Incremental Term Loan (if any) as determined pursuant to, and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1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Prepayments of Term Loans.</w:t>
      </w:r>
    </w:p>
    <w:p>
      <w:pPr>
        <w:spacing w:after="0" w:line="252" w:lineRule="exact"/>
        <w:rPr>
          <w:sz w:val="20"/>
          <w:szCs w:val="20"/>
          <w:color w:val="auto"/>
        </w:rPr>
      </w:pPr>
    </w:p>
    <w:p>
      <w:pPr>
        <w:jc w:val="both"/>
        <w:ind w:firstLine="644"/>
        <w:spacing w:after="0" w:line="339" w:lineRule="auto"/>
        <w:tabs>
          <w:tab w:leader="none" w:pos="138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shall have the right at any time and from time to time, without premium or penalty, to prepay the Term Loans, in whole or in part, upon delivery to the Administrative Agent of a Notice of Prepayment not later than 1:00 p.m. (i) on the same Business Day as each Base Rate Loan and (ii) at least three (3) Business Days before each LIBOR Rate Loan, specifying the date and amount of prepayment, whether the prepayment is of LIBOR Rate Loans or Base Rate Loans or a combination thereof, and if a combination thereof, the amount allocable to each and whether the prepayment is of the Initial Term Loan, an Incremental Term Loan or a combination thereof, and if a combination thereof, the amount allocable to each. Each optional prepayment of the Term Loans hereunder shall be in an aggregate principal amount of at least $5,000,000 or any whole multiple of $1,000,000 in excess thereof and shall be applied to the outstanding principal installments of the Initial Term Loan and, if applicable, any Incremental Term Loans as the Borrower may elect. Each prepayment shall be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 A Notice of Prepayment received after 1:00 p.m. shall be deemed received on the next Business Day.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may be, if expressly so stated to be, contingent upon the consummation of such refinancing or incurrence and may be revoked by the Borrower in the event such refinancing is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delay or failure of such contingency shall not relieve the Borrower from its obligations, if any, in respect thereof under </w:t>
      </w:r>
      <w:r>
        <w:rPr>
          <w:rFonts w:ascii="Arial" w:cs="Arial" w:eastAsia="Arial" w:hAnsi="Arial"/>
          <w:sz w:val="16"/>
          <w:szCs w:val="16"/>
          <w:u w:val="single" w:color="auto"/>
          <w:color w:val="auto"/>
        </w:rPr>
        <w:t>Section 5.9.</w:t>
      </w:r>
    </w:p>
    <w:p>
      <w:pPr>
        <w:spacing w:after="0" w:line="146" w:lineRule="exact"/>
        <w:rPr>
          <w:rFonts w:ascii="Arial" w:cs="Arial" w:eastAsia="Arial" w:hAnsi="Arial"/>
          <w:sz w:val="16"/>
          <w:szCs w:val="16"/>
          <w:color w:val="auto"/>
        </w:rPr>
      </w:pPr>
    </w:p>
    <w:p>
      <w:pPr>
        <w:ind w:left="1300" w:hanging="656"/>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360" w:top="756" w:right="239" w:bottom="1440" w:gutter="0" w:footer="0" w:header="0"/>
        </w:sectPr>
      </w:pPr>
    </w:p>
    <w:bookmarkStart w:id="113" w:name="page114"/>
    <w:bookmarkEnd w:id="113"/>
    <w:p>
      <w:pPr>
        <w:jc w:val="both"/>
        <w:ind w:left="380" w:firstLine="653"/>
        <w:spacing w:after="0" w:line="306" w:lineRule="auto"/>
        <w:tabs>
          <w:tab w:leader="none" w:pos="173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Debt Issuances.</w:t>
      </w:r>
      <w:r>
        <w:rPr>
          <w:rFonts w:ascii="Arial" w:cs="Arial" w:eastAsia="Arial" w:hAnsi="Arial"/>
          <w:sz w:val="18"/>
          <w:szCs w:val="18"/>
          <w:color w:val="auto"/>
        </w:rPr>
        <w:t xml:space="preserve"> The Borrower shall make mandatory principal prepayments of the Loans and/or Cash Collateralize the L/C Obligations in the manner set forth in clause (v) below in an amount equal to one hundred percent (100%) of the aggregate Net Cash Proceeds from any Debt Issuance not otherwise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Such prepayment shall be made within five (5) Business Days after the date of receipt of the Net Cash Proceeds of any such Debt Issuance.</w:t>
      </w:r>
    </w:p>
    <w:p>
      <w:pPr>
        <w:spacing w:after="0" w:line="186" w:lineRule="exact"/>
        <w:rPr>
          <w:rFonts w:ascii="Arial" w:cs="Arial" w:eastAsia="Arial" w:hAnsi="Arial"/>
          <w:sz w:val="18"/>
          <w:szCs w:val="18"/>
          <w:color w:val="auto"/>
        </w:rPr>
      </w:pPr>
    </w:p>
    <w:p>
      <w:pPr>
        <w:jc w:val="both"/>
        <w:ind w:left="380" w:firstLine="653"/>
        <w:spacing w:after="0" w:line="340" w:lineRule="auto"/>
        <w:tabs>
          <w:tab w:leader="none" w:pos="178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Asset Dispositions.</w:t>
      </w:r>
      <w:r>
        <w:rPr>
          <w:rFonts w:ascii="Arial" w:cs="Arial" w:eastAsia="Arial" w:hAnsi="Arial"/>
          <w:sz w:val="16"/>
          <w:szCs w:val="16"/>
          <w:color w:val="auto"/>
        </w:rPr>
        <w:t xml:space="preserve"> The Borrower shall make mandatory principal prepayments of the Loans and/or Cash Collateralize the L/C Obligations in the manner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in amounts equal to one hundred percent (100%) of the aggregate Net Cash Proceeds from any Asset Disposition permitted pursuant to, and in accordance with, clauses (g) and (n) of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to the extent that the aggregate amount of such Net Cash Proceeds exceed $5,000,000 during any Fiscal Year. Such prepayments shall be made within five (5) Business Days after the date of receipt of the Net Cash Proceeds of any such Asset Disposition by such Credit Party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has occurred and is continuing, no prepayment shall be required under this </w:t>
      </w:r>
      <w:r>
        <w:rPr>
          <w:rFonts w:ascii="Arial" w:cs="Arial" w:eastAsia="Arial" w:hAnsi="Arial"/>
          <w:sz w:val="16"/>
          <w:szCs w:val="16"/>
          <w:u w:val="single" w:color="auto"/>
          <w:color w:val="auto"/>
        </w:rPr>
        <w:t>Section 4.4(b)(ii)</w:t>
      </w:r>
      <w:r>
        <w:rPr>
          <w:rFonts w:ascii="Arial" w:cs="Arial" w:eastAsia="Arial" w:hAnsi="Arial"/>
          <w:sz w:val="16"/>
          <w:szCs w:val="16"/>
          <w:color w:val="auto"/>
        </w:rPr>
        <w:t xml:space="preserve"> to the extent that such Net Cash Proceeds are reinvested in assets used or useful in the business of Holdings and its Subsidiaries within twelve (12) months after receipt of such Net Cash Proceeds by such Credit Party or such Subsidiary or committed to be reinvested pursuant to a legally binding agreement in assets used or useful in the business of Holdings and its Subsidiaries within twelve (12) months after receipt of such Net Cash Proceeds and are thereafter actually reinvested in assets used or useful in the business of Holdings and its Subsidiaries within eighteen (18) months after receipt of such Net Cash Proceeds by such Credit Party or such Subsidiary;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portion of such Net Cash Proceeds not committed to be reinvested pursuant to a legally binding agreement within such twelve (12) month period or actually reinvested within such eighteen (18)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month period shall be prepaid in accordance with this </w:t>
      </w:r>
      <w:r>
        <w:rPr>
          <w:rFonts w:ascii="Arial" w:cs="Arial" w:eastAsia="Arial" w:hAnsi="Arial"/>
          <w:sz w:val="18"/>
          <w:szCs w:val="18"/>
          <w:u w:val="single" w:color="auto"/>
          <w:color w:val="auto"/>
        </w:rPr>
        <w:t>Section 4.4(b)(ii)</w:t>
      </w:r>
      <w:r>
        <w:rPr>
          <w:rFonts w:ascii="Arial" w:cs="Arial" w:eastAsia="Arial" w:hAnsi="Arial"/>
          <w:sz w:val="18"/>
          <w:szCs w:val="18"/>
          <w:color w:val="auto"/>
        </w:rPr>
        <w:t xml:space="preserve"> on or before the last day of such eighteen (18) month period.</w:t>
      </w:r>
    </w:p>
    <w:p>
      <w:pPr>
        <w:spacing w:after="0" w:line="266" w:lineRule="exact"/>
        <w:rPr>
          <w:sz w:val="20"/>
          <w:szCs w:val="20"/>
          <w:color w:val="auto"/>
        </w:rPr>
      </w:pPr>
    </w:p>
    <w:p>
      <w:pPr>
        <w:jc w:val="both"/>
        <w:ind w:left="20" w:firstLine="648"/>
        <w:spacing w:after="0" w:line="318" w:lineRule="auto"/>
        <w:tabs>
          <w:tab w:leader="none" w:pos="1830" w:val="left"/>
        </w:tabs>
        <w:numPr>
          <w:ilvl w:val="2"/>
          <w:numId w:val="86"/>
        </w:numPr>
        <w:rPr>
          <w:rFonts w:ascii="Arial" w:cs="Arial" w:eastAsia="Arial" w:hAnsi="Arial"/>
          <w:sz w:val="17"/>
          <w:szCs w:val="17"/>
          <w:color w:val="auto"/>
        </w:rPr>
      </w:pPr>
      <w:r>
        <w:rPr>
          <w:rFonts w:ascii="Arial" w:cs="Arial" w:eastAsia="Arial" w:hAnsi="Arial"/>
          <w:sz w:val="17"/>
          <w:szCs w:val="17"/>
          <w:u w:val="single" w:color="auto"/>
          <w:color w:val="auto"/>
        </w:rPr>
        <w:t>Insurance and Condemnation Events.</w:t>
      </w:r>
      <w:r>
        <w:rPr>
          <w:rFonts w:ascii="Arial" w:cs="Arial" w:eastAsia="Arial" w:hAnsi="Arial"/>
          <w:sz w:val="17"/>
          <w:szCs w:val="17"/>
          <w:color w:val="auto"/>
        </w:rPr>
        <w:t xml:space="preserve"> The Borrower shall make mandatory principal prepayments of the Loans and/or Cash Collateralize the L/C Obligations in the manner set forth in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below in an amount equal to one hundred percent (100%) of the aggregate Net Cash Proceeds from any Insurance and Condemnation Event to the extent that the aggregate amount of such Net Cash Proceeds exceed $5,000,000 during any Fiscal Year. Such prepayments shall be made within five (5) Business Days after the date of receipt of Net Cash Proceeds of any such Insurance and Condemnation Event by such Credit Party or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Default or Event of Default has occurred and is continuing, no prepayment shall be required under this </w:t>
      </w:r>
      <w:r>
        <w:rPr>
          <w:rFonts w:ascii="Arial" w:cs="Arial" w:eastAsia="Arial" w:hAnsi="Arial"/>
          <w:sz w:val="17"/>
          <w:szCs w:val="17"/>
          <w:u w:val="single" w:color="auto"/>
          <w:color w:val="auto"/>
        </w:rPr>
        <w:t>Section 4.4(b)(iii)</w:t>
      </w:r>
      <w:r>
        <w:rPr>
          <w:rFonts w:ascii="Arial" w:cs="Arial" w:eastAsia="Arial" w:hAnsi="Arial"/>
          <w:sz w:val="17"/>
          <w:szCs w:val="17"/>
          <w:color w:val="auto"/>
        </w:rPr>
        <w:t xml:space="preserve"> to the extent that such Net Cash Proceeds are reinvested in assets used or useful in the business of Holdings within twelve (12) months after receipt of such Net Cash Proceeds by such Credit Party or such Subsidiary or are committed to be reinvested pursuant to a legally binding agreement in assets used or useful in the business of Holdings and its Subsidiaries within twelve (12) months after receipt of such Net Cash Proceeds and are thereafter actually reinvested in assets used or useful in the business of Holdings within eighteen (18) months after receipt of such Net Cash Proceeds by such Credit Party or such Subsidiary;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portion of the Net Cash Proceeds not committed to be reinvested pursuant to a legally binding agreement within such twelve (12) month period or actually reinvested within such eighteen (18) month period shall be prepaid in accordance with this </w:t>
      </w:r>
      <w:r>
        <w:rPr>
          <w:rFonts w:ascii="Arial" w:cs="Arial" w:eastAsia="Arial" w:hAnsi="Arial"/>
          <w:sz w:val="17"/>
          <w:szCs w:val="17"/>
          <w:u w:val="single" w:color="auto"/>
          <w:color w:val="auto"/>
        </w:rPr>
        <w:t>Section 4.4(b)(iii)</w:t>
      </w:r>
      <w:r>
        <w:rPr>
          <w:rFonts w:ascii="Arial" w:cs="Arial" w:eastAsia="Arial" w:hAnsi="Arial"/>
          <w:sz w:val="17"/>
          <w:szCs w:val="17"/>
          <w:color w:val="auto"/>
        </w:rPr>
        <w:t xml:space="preserve"> on or before the last day of such eighteen (18) month period.</w:t>
      </w:r>
    </w:p>
    <w:p>
      <w:pPr>
        <w:spacing w:after="0" w:line="184" w:lineRule="exact"/>
        <w:rPr>
          <w:rFonts w:ascii="Arial" w:cs="Arial" w:eastAsia="Arial" w:hAnsi="Arial"/>
          <w:sz w:val="17"/>
          <w:szCs w:val="17"/>
          <w:color w:val="auto"/>
        </w:rPr>
      </w:pPr>
    </w:p>
    <w:p>
      <w:pPr>
        <w:jc w:val="both"/>
        <w:ind w:firstLine="654"/>
        <w:spacing w:after="0" w:line="334" w:lineRule="auto"/>
        <w:tabs>
          <w:tab w:leader="none" w:pos="1178"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After the end of each Fiscal Year (commencing with the Fiscal Year ending on or about December 31, 2015), within five (5) Business Days after the earlier to occur of (x) the delivery of the financial statements and related Officer’s Compliance Certificate for such Fiscal Year and (y) the date on which the financial statements and the related Officer’s Compliance Certificate for such fiscal year are required to be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the Borrower shall make mandatory principal prepayments of the Loans in the manner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in an amount equal to (A) if the Total Lease Adjusted Leverage Ratio is greater than 4.50 to 1.00 as of the end of such Fiscal Year,</w:t>
      </w:r>
    </w:p>
    <w:p>
      <w:pPr>
        <w:spacing w:after="0" w:line="2" w:lineRule="exact"/>
        <w:rPr>
          <w:rFonts w:ascii="Arial" w:cs="Arial" w:eastAsia="Arial" w:hAnsi="Arial"/>
          <w:sz w:val="16"/>
          <w:szCs w:val="16"/>
          <w:color w:val="auto"/>
        </w:rPr>
      </w:pPr>
    </w:p>
    <w:p>
      <w:pPr>
        <w:jc w:val="both"/>
        <w:ind w:firstLine="6"/>
        <w:spacing w:after="0" w:line="334" w:lineRule="auto"/>
        <w:tabs>
          <w:tab w:leader="none" w:pos="2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fifty percent (50%) of Excess Cash Flow, if any, for such Fiscal Year, (B) if the Total Lease Adjusted Leverage Ratio is greater than 4.00 to 1.00 but less than or equal to 4.50 to 1.00, twenty five percent (25%) of Excess Cash Flow, if any, for such Fiscal Year and (C) if the Total Lease Adjusted Leverage Ratio is less than or equal to 4.00 to 1.00, no Excess Cash Flow prepayment shall be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amounts payable under clauses</w:t>
      </w:r>
    </w:p>
    <w:p>
      <w:pPr>
        <w:spacing w:after="0" w:line="1" w:lineRule="exact"/>
        <w:rPr>
          <w:rFonts w:ascii="Arial" w:cs="Arial" w:eastAsia="Arial" w:hAnsi="Arial"/>
          <w:sz w:val="16"/>
          <w:szCs w:val="16"/>
          <w:color w:val="auto"/>
        </w:rPr>
      </w:pPr>
    </w:p>
    <w:p>
      <w:pPr>
        <w:jc w:val="both"/>
        <w:spacing w:after="0" w:line="311" w:lineRule="auto"/>
        <w:rPr>
          <w:rFonts w:ascii="Arial" w:cs="Arial" w:eastAsia="Arial" w:hAnsi="Arial"/>
          <w:sz w:val="16"/>
          <w:szCs w:val="16"/>
          <w:color w:val="auto"/>
        </w:rPr>
      </w:pPr>
      <w:r>
        <w:rPr>
          <w:rFonts w:ascii="Arial" w:cs="Arial" w:eastAsia="Arial" w:hAnsi="Arial"/>
          <w:sz w:val="18"/>
          <w:szCs w:val="18"/>
          <w:color w:val="auto"/>
        </w:rPr>
        <w:t>(A) and (B) above shall be reduced by voluntary principal prepayments of the Term Loan and voluntary prepayments or repayments of Revolving Credit Loans to the extent that the Revolving Credit Commitment is permanently reduced by an equal amount at the time of such payment or prepayment, in each case, made in such Fiscal Year.</w:t>
      </w:r>
    </w:p>
    <w:p>
      <w:pPr>
        <w:spacing w:after="0" w:line="181" w:lineRule="exact"/>
        <w:rPr>
          <w:rFonts w:ascii="Arial" w:cs="Arial" w:eastAsia="Arial" w:hAnsi="Arial"/>
          <w:sz w:val="16"/>
          <w:szCs w:val="16"/>
          <w:color w:val="auto"/>
        </w:rPr>
      </w:pPr>
    </w:p>
    <w:p>
      <w:pPr>
        <w:jc w:val="both"/>
        <w:ind w:left="20" w:firstLine="648"/>
        <w:spacing w:after="0" w:line="311" w:lineRule="auto"/>
        <w:tabs>
          <w:tab w:leader="none" w:pos="1121"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Notice; Manner of Payment.</w:t>
      </w:r>
      <w:r>
        <w:rPr>
          <w:rFonts w:ascii="Arial" w:cs="Arial" w:eastAsia="Arial" w:hAnsi="Arial"/>
          <w:sz w:val="18"/>
          <w:szCs w:val="18"/>
          <w:color w:val="auto"/>
        </w:rPr>
        <w:t xml:space="preserve"> Upon the occurrence of any event triggering the prepayment requirement under clauses (i) through and including (iv) above, the Borrower shall promptly deliver a Notice of Prepayment to the Administrative Agent and upon receipt of such notice, the Administrative Agent shall promptly so notify the Lenders. Each</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620" w:top="611" w:right="239" w:bottom="1440" w:gutter="0" w:footer="0" w:header="0"/>
        </w:sectPr>
      </w:pPr>
    </w:p>
    <w:bookmarkStart w:id="114" w:name="page115"/>
    <w:bookmarkEnd w:id="114"/>
    <w:p>
      <w:pPr>
        <w:jc w:val="both"/>
        <w:ind w:left="284"/>
        <w:spacing w:after="0" w:line="334" w:lineRule="auto"/>
        <w:rPr>
          <w:sz w:val="20"/>
          <w:szCs w:val="20"/>
          <w:color w:val="auto"/>
        </w:rPr>
      </w:pPr>
      <w:r>
        <w:rPr>
          <w:rFonts w:ascii="Arial" w:cs="Arial" w:eastAsia="Arial" w:hAnsi="Arial"/>
          <w:sz w:val="16"/>
          <w:szCs w:val="16"/>
          <w:color w:val="auto"/>
        </w:rPr>
        <w:t xml:space="preserve">prepayment of the Loans under this Section shall be applied ratably between the Initial Term Loans and any Incremental Term Loans as follows: (A) first to the next four (4) scheduled quarterly principal installments of the Initial Term Loans and/or Incremental Term Loans, as applicable, in direct order of maturity, (B) second, to reduce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the remaining scheduled principal installments of the Initial Term Loans and as determined by the Borrower and the applicable Incremental Lenders to reduce the remaining scheduled principal installments of any Incremental Term Loans and</w:t>
      </w:r>
    </w:p>
    <w:p>
      <w:pPr>
        <w:spacing w:after="0" w:line="2" w:lineRule="exact"/>
        <w:rPr>
          <w:sz w:val="20"/>
          <w:szCs w:val="20"/>
          <w:color w:val="auto"/>
        </w:rPr>
      </w:pPr>
    </w:p>
    <w:p>
      <w:pPr>
        <w:ind w:left="284"/>
        <w:spacing w:after="0" w:line="324" w:lineRule="auto"/>
        <w:tabs>
          <w:tab w:leader="none" w:pos="6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third, to the extent of any excess, to repay the Revolving Credit Loans pursuant to Section 2.4(d), without a corresponding reduction in the Revolving Credit Commitment and (D) fourth, to Cash Collateralize any L/C Obligations then outstanding.</w:t>
      </w:r>
    </w:p>
    <w:p>
      <w:pPr>
        <w:spacing w:after="0" w:line="170" w:lineRule="exact"/>
        <w:rPr>
          <w:sz w:val="20"/>
          <w:szCs w:val="20"/>
          <w:color w:val="auto"/>
        </w:rPr>
      </w:pPr>
    </w:p>
    <w:p>
      <w:pPr>
        <w:ind w:left="644" w:firstLine="653"/>
        <w:spacing w:after="0" w:line="324" w:lineRule="auto"/>
        <w:tabs>
          <w:tab w:leader="none" w:pos="209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Reborrowings.</w:t>
      </w:r>
      <w:r>
        <w:rPr>
          <w:rFonts w:ascii="Arial" w:cs="Arial" w:eastAsia="Arial" w:hAnsi="Arial"/>
          <w:sz w:val="18"/>
          <w:szCs w:val="18"/>
          <w:color w:val="auto"/>
        </w:rPr>
        <w:t xml:space="preserve"> Amounts prepaid under the Term Loan pursuant to this Section may not be reborrowed. Each prepayment shall be accompanied by any amount required to be paid pursuant to </w:t>
      </w:r>
      <w:r>
        <w:rPr>
          <w:rFonts w:ascii="Arial" w:cs="Arial" w:eastAsia="Arial" w:hAnsi="Arial"/>
          <w:sz w:val="18"/>
          <w:szCs w:val="18"/>
          <w:u w:val="single" w:color="auto"/>
          <w:color w:val="auto"/>
        </w:rPr>
        <w:t>Section 5.9.</w:t>
      </w:r>
    </w:p>
    <w:p>
      <w:pPr>
        <w:spacing w:after="0" w:line="76" w:lineRule="exact"/>
        <w:rPr>
          <w:sz w:val="20"/>
          <w:szCs w:val="20"/>
          <w:color w:val="auto"/>
        </w:rPr>
      </w:pPr>
    </w:p>
    <w:p>
      <w:pPr>
        <w:ind w:left="3664"/>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ind w:left="3664"/>
        <w:spacing w:after="0"/>
        <w:rPr>
          <w:sz w:val="20"/>
          <w:szCs w:val="20"/>
          <w:color w:val="auto"/>
        </w:rPr>
      </w:pPr>
      <w:r>
        <w:rPr>
          <w:rFonts w:ascii="Arial" w:cs="Arial" w:eastAsia="Arial" w:hAnsi="Arial"/>
          <w:sz w:val="18"/>
          <w:szCs w:val="18"/>
          <w:color w:val="auto"/>
        </w:rPr>
        <w:t>GENERAL LOAN PROVISIONS</w:t>
      </w:r>
    </w:p>
    <w:p>
      <w:pPr>
        <w:spacing w:after="0" w:line="104" w:lineRule="exact"/>
        <w:rPr>
          <w:sz w:val="20"/>
          <w:szCs w:val="20"/>
          <w:color w:val="auto"/>
        </w:rPr>
      </w:pPr>
    </w:p>
    <w:p>
      <w:pPr>
        <w:ind w:left="644"/>
        <w:spacing w:after="0"/>
        <w:tabs>
          <w:tab w:leader="none" w:pos="1844"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Interest.</w:t>
      </w:r>
    </w:p>
    <w:p>
      <w:pPr>
        <w:spacing w:after="0" w:line="252" w:lineRule="exact"/>
        <w:rPr>
          <w:sz w:val="20"/>
          <w:szCs w:val="20"/>
          <w:color w:val="auto"/>
        </w:rPr>
      </w:pPr>
    </w:p>
    <w:p>
      <w:pPr>
        <w:jc w:val="both"/>
        <w:ind w:left="4" w:firstLine="644"/>
        <w:spacing w:after="0" w:line="322" w:lineRule="auto"/>
        <w:tabs>
          <w:tab w:leader="none" w:pos="1392"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Interest Rate Options.</w:t>
      </w:r>
      <w:r>
        <w:rPr>
          <w:rFonts w:ascii="Arial" w:cs="Arial" w:eastAsia="Arial" w:hAnsi="Arial"/>
          <w:sz w:val="17"/>
          <w:szCs w:val="17"/>
          <w:color w:val="auto"/>
        </w:rPr>
        <w:t xml:space="preserve"> Subject to the provisions of this Section, at the election of the Borrower, (i) Revolving Credit Loans and the Term Loans shall bear interest at (A)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or (B) the LIBOR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LIBOR Rate shall not be available until three (3) Business Days (or four (4) Business Days with respect to a LIBOR Rate based on a twelve month Interest Period) after the Closing Date unless the Borrower has delivered to the Administrative Agent a letter in form and substance reasonably satisfactory to the Administrative Agent indemnifying the Lenders in the manner set forth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this Agreement) and (ii) any Swingline Loan shall bear interest at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The Borrower shall select the rate of interest and Interest Period, if any, applicable to any Loan at the time a Notice of Borrowing is given or at the time a Notice of Conversion/Continuation is given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4" w:firstLine="644"/>
        <w:spacing w:after="0" w:line="334" w:lineRule="auto"/>
        <w:tabs>
          <w:tab w:leader="none" w:pos="1402"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 immediately upon the occurrence and during the continuance of an Event of Default under </w:t>
      </w:r>
      <w:r>
        <w:rPr>
          <w:rFonts w:ascii="Arial" w:cs="Arial" w:eastAsia="Arial" w:hAnsi="Arial"/>
          <w:sz w:val="16"/>
          <w:szCs w:val="16"/>
          <w:u w:val="single" w:color="auto"/>
          <w:color w:val="auto"/>
        </w:rPr>
        <w:t>Section 10.1(a), (b)</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or (ii) at the election of the Required Lenders, upon the occurrence and during the continuance of any other Event of Default,</w:t>
      </w:r>
    </w:p>
    <w:p>
      <w:pPr>
        <w:spacing w:after="0" w:line="1" w:lineRule="exact"/>
        <w:rPr>
          <w:rFonts w:ascii="Arial" w:cs="Arial" w:eastAsia="Arial" w:hAnsi="Arial"/>
          <w:sz w:val="16"/>
          <w:szCs w:val="16"/>
          <w:color w:val="auto"/>
        </w:rPr>
      </w:pPr>
    </w:p>
    <w:p>
      <w:pPr>
        <w:jc w:val="both"/>
        <w:ind w:left="4" w:hanging="4"/>
        <w:spacing w:after="0" w:line="321" w:lineRule="auto"/>
        <w:tabs>
          <w:tab w:leader="none" w:pos="31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Borrower shall no longer have the option to request LIBOR Rate Loans, Swingline Loans or Letters of Credit, (B) all outstanding LIBOR Rate Loans shall bear interest at a rate per annum of two percent (2%) in excess of the rate (including the Applicable Margin) then applicable to LIBOR Rate Loans until the end of the applicable Interest Period and thereafter at a rate equal to two percent (2%) in excess of the rate (including the Applicable Margin) then applicable to Base Rate Loans, (C) all outstanding Base Rate Loans and other Obligations arising hereunder or under any other Loan Document shall bear interest at a rate per annum equal to two percent (2%) in excess of the rate (including the Applicable Margin) then applicable to Base Rate Loans or such other Obligations arising hereunder or under any other Loan Document and (D) all accrued and unpaid interest shall be due and payable on demand of the Administrative Agent. Interest shall continue to accrue on the Obligations after the filing by or against the Borrower of any petition seeking any relief in bankruptcy or under any Debtor Relief Law.</w:t>
      </w:r>
    </w:p>
    <w:p>
      <w:pPr>
        <w:spacing w:after="0" w:line="177" w:lineRule="exact"/>
        <w:rPr>
          <w:rFonts w:ascii="Arial" w:cs="Arial" w:eastAsia="Arial" w:hAnsi="Arial"/>
          <w:sz w:val="17"/>
          <w:szCs w:val="17"/>
          <w:color w:val="auto"/>
        </w:rPr>
      </w:pPr>
    </w:p>
    <w:p>
      <w:pPr>
        <w:jc w:val="both"/>
        <w:ind w:left="4" w:firstLine="644"/>
        <w:spacing w:after="0" w:line="334" w:lineRule="auto"/>
        <w:tabs>
          <w:tab w:leader="none" w:pos="139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Interest Payment and Computation.</w:t>
      </w:r>
      <w:r>
        <w:rPr>
          <w:rFonts w:ascii="Arial" w:cs="Arial" w:eastAsia="Arial" w:hAnsi="Arial"/>
          <w:sz w:val="16"/>
          <w:szCs w:val="16"/>
          <w:color w:val="auto"/>
        </w:rPr>
        <w:t xml:space="preserve"> Interest on each Base Rate Loan shall be due and payable in arrears on the last Business Day of each calendar quarter commencing September 30, 2014; and interest on each LIBOR Rate Loan shall be due and payable on the last day of each Interest Period applicable thereto, and if such Interest Period extends over three (3) months, at the end of each three (3) month interval during such Interest Period. All computations of interest for Base Rate Loans when the Base Rate is determined by the Prime Rate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3" w:lineRule="exact"/>
        <w:rPr>
          <w:rFonts w:ascii="Arial" w:cs="Arial" w:eastAsia="Arial" w:hAnsi="Arial"/>
          <w:sz w:val="16"/>
          <w:szCs w:val="16"/>
          <w:color w:val="auto"/>
        </w:rPr>
      </w:pPr>
    </w:p>
    <w:p>
      <w:pPr>
        <w:jc w:val="both"/>
        <w:ind w:left="4" w:firstLine="644"/>
        <w:spacing w:after="0" w:line="321" w:lineRule="auto"/>
        <w:tabs>
          <w:tab w:leader="none" w:pos="1402"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Maximum Rate.</w:t>
      </w:r>
      <w:r>
        <w:rPr>
          <w:rFonts w:ascii="Arial" w:cs="Arial" w:eastAsia="Arial" w:hAnsi="Arial"/>
          <w:sz w:val="17"/>
          <w:szCs w:val="17"/>
          <w:color w:val="auto"/>
        </w:rPr>
        <w:t xml:space="preserve">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 in excess of the maximum lawful rate or (ii) apply such excess to the principal balance of the Obligations.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spacing w:after="0" w:line="39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4"/>
          </w:cols>
          <w:pgMar w:left="356" w:top="611" w:right="239" w:bottom="1440" w:gutter="0" w:footer="0" w:header="0"/>
        </w:sectPr>
      </w:pPr>
    </w:p>
    <w:bookmarkStart w:id="115" w:name="page116"/>
    <w:bookmarkEnd w:id="115"/>
    <w:p>
      <w:pPr>
        <w:ind w:left="40" w:right="20" w:firstLine="648"/>
        <w:spacing w:after="0" w:line="266"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Notice and Manner of Conversion or Continuation of Loans.</w:t>
      </w:r>
      <w:r>
        <w:rPr>
          <w:rFonts w:ascii="Arial" w:cs="Arial" w:eastAsia="Arial" w:hAnsi="Arial"/>
          <w:sz w:val="18"/>
          <w:szCs w:val="18"/>
          <w:color w:val="auto"/>
        </w:rPr>
        <w:t xml:space="preserve"> Provided that no Default or Event of Default has occurred and is then continuing, the Borrower shall have the option to</w:t>
      </w:r>
    </w:p>
    <w:p>
      <w:pPr>
        <w:jc w:val="both"/>
        <w:ind w:firstLine="9"/>
        <w:spacing w:after="0" w:line="337" w:lineRule="auto"/>
        <w:tabs>
          <w:tab w:leader="none" w:pos="753"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convert at any time all or any portion of any outstanding Base Rate Loans (other than Swingline Loans) in a principal amount equal to $2,000,000 or any whole multiple of $250,000 in excess thereof into one or more LIBOR Rate Loans and (b) upon the expiration of any Interest Period, (i) convert all or any part of its outstanding LIBOR Rate Loans in a principal amount equal to $1,000,000 or a whole multiple of $100,000 in excess thereof into Base Rate Loans (other than Swingline Loans) or (ii) continue such LIBOR Rate Loans as LIBOR Rate Loans. Whenever the Borrower desires to convert or continue Loans as provided above, the Borrower shall give the Administrative Agent irrevocable prior written notice in the form attached as </w:t>
      </w:r>
      <w:r>
        <w:rPr>
          <w:rFonts w:ascii="Arial" w:cs="Arial" w:eastAsia="Arial" w:hAnsi="Arial"/>
          <w:sz w:val="16"/>
          <w:szCs w:val="16"/>
          <w:b w:val="1"/>
          <w:bCs w:val="1"/>
          <w:i w:val="1"/>
          <w:iCs w:val="1"/>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Conversion/Continuation</w:t>
      </w:r>
      <w:r>
        <w:rPr>
          <w:rFonts w:ascii="Arial" w:cs="Arial" w:eastAsia="Arial" w:hAnsi="Arial"/>
          <w:sz w:val="16"/>
          <w:szCs w:val="16"/>
          <w:color w:val="auto"/>
        </w:rPr>
        <w:t xml:space="preserve">”) not later than 1:00 p.m. three (3) Business Days before the day on which a proposed conversion or continuation of such Loan is to be effective specifying (A) the Loans to be converted or continued, and, in the case of any LIBOR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LIBOR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wishes to request LIBOR Rate Loans having an Interest Period of twelve months in duration, such notice must be received by the Administrative Agent not later than 1:00 p.m. four (4) Business Days prior to the requested date of such conversion or continuation, whereupon the Administrative Agent shall give prompt notice to the applicable Lenders of such request and determine whether the requested Interest Period is acceptable to all of them. If the Borrower fails to give a timely Notice of Conversion/Continuation prior to the end of the Interest Period for any LIBOR Rate Loan, then the applicable LIBOR Rate Loan shall be converted to a Base Rate Loan. Any such automatic conversion to a Base Rate Loan shall be effective as of the last day of the Interest Period then in effect with respect to the applicable LIBOR Rate Loan. If the Borrower requests a conversion to, or continuation of, LIBOR Rate Loans, but fails to specify an Interest Period, it will be deemed to have specified an Interest Period of one month. Notwithstanding anything to the contrary herein, a Swingline Loan may not be converted to a LIBOR Rate Loan (but a Revolving Credit Loan bearing interest at the LIBOR Rate or the Base Rate may be used to repay a Swingline Loan). The Administrative Agent shall promptly notify the affected Lenders of such Notice of Conversion / Continuation. Notwithstanding the foregoing, Loans made on the Closing Date or any of the three (3) Business Days following the Closing Date, may only consist of Base Rate Loans unless the Borrower delivers a funding indemnity letter,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or otherwise reasonably acceptable to the Administrative Agent not less than three (3) Business Days prior to the Closing Date. LIBOR Rate Loans shall be made by each Revolving Lender at its LIBOR Lending Office and Base Rate Loans at its domestic Lending Office.</w:t>
      </w:r>
    </w:p>
    <w:p>
      <w:pPr>
        <w:spacing w:after="0" w:line="200" w:lineRule="exact"/>
        <w:rPr>
          <w:sz w:val="20"/>
          <w:szCs w:val="20"/>
          <w:color w:val="auto"/>
        </w:rPr>
      </w:pPr>
    </w:p>
    <w:p>
      <w:pPr>
        <w:spacing w:after="0" w:line="277" w:lineRule="exact"/>
        <w:rPr>
          <w:sz w:val="20"/>
          <w:szCs w:val="20"/>
          <w:color w:val="auto"/>
        </w:rPr>
      </w:pPr>
    </w:p>
    <w:p>
      <w:pPr>
        <w:ind w:left="680"/>
        <w:spacing w:after="0"/>
        <w:tabs>
          <w:tab w:leader="none" w:pos="18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4"/>
          <w:szCs w:val="14"/>
          <w:u w:val="single" w:color="auto"/>
          <w:color w:val="auto"/>
        </w:rPr>
        <w:t>Fees.</w:t>
      </w:r>
    </w:p>
    <w:p>
      <w:pPr>
        <w:spacing w:after="0" w:line="252" w:lineRule="exact"/>
        <w:rPr>
          <w:sz w:val="20"/>
          <w:szCs w:val="20"/>
          <w:color w:val="auto"/>
        </w:rPr>
      </w:pPr>
    </w:p>
    <w:p>
      <w:pPr>
        <w:jc w:val="both"/>
        <w:ind w:left="40" w:firstLine="644"/>
        <w:spacing w:after="0" w:line="319" w:lineRule="auto"/>
        <w:tabs>
          <w:tab w:leader="none" w:pos="1428"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Commencing on the Closing Date, subject to </w:t>
      </w:r>
      <w:r>
        <w:rPr>
          <w:rFonts w:ascii="Arial" w:cs="Arial" w:eastAsia="Arial" w:hAnsi="Arial"/>
          <w:sz w:val="17"/>
          <w:szCs w:val="17"/>
          <w:u w:val="single" w:color="auto"/>
          <w:color w:val="auto"/>
        </w:rPr>
        <w:t>Section 5.15(a)(iii)(A),</w:t>
      </w:r>
      <w:r>
        <w:rPr>
          <w:rFonts w:ascii="Arial" w:cs="Arial" w:eastAsia="Arial" w:hAnsi="Arial"/>
          <w:sz w:val="17"/>
          <w:szCs w:val="17"/>
          <w:color w:val="auto"/>
        </w:rPr>
        <w:t xml:space="preserve"> the Borrower shall pay to the Administrative Agent, for the account of the Revolving Credit Lenders, a non-refundable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at a rate per annum equal to the Applicable Margin on the average daily unused portion of the Revolving Credit Commitment of the Revolving Credit Lenders (other than the Defaulting Lenders,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September 30, 2014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such Revolving Credit Lenders’ respective Revolving Credit Commitment Percentages.</w:t>
      </w:r>
    </w:p>
    <w:p>
      <w:pPr>
        <w:spacing w:after="0" w:line="183" w:lineRule="exact"/>
        <w:rPr>
          <w:rFonts w:ascii="Arial" w:cs="Arial" w:eastAsia="Arial" w:hAnsi="Arial"/>
          <w:sz w:val="17"/>
          <w:szCs w:val="17"/>
          <w:color w:val="auto"/>
        </w:rPr>
      </w:pPr>
    </w:p>
    <w:p>
      <w:pPr>
        <w:jc w:val="both"/>
        <w:ind w:left="40" w:firstLine="644"/>
        <w:spacing w:after="0" w:line="311" w:lineRule="auto"/>
        <w:tabs>
          <w:tab w:leader="none" w:pos="143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xml:space="preserve"> The Borrower shall pay to the Arranger and the Administrative Agent for their own respective accounts fees in the amounts and at the times specified in their Fee Letter. The Borrower shall pay to the Lenders such fees as shall have been separately agreed upon in writing in the amounts and at the times so specified.</w:t>
      </w:r>
    </w:p>
    <w:p>
      <w:pPr>
        <w:spacing w:after="0" w:line="154" w:lineRule="exact"/>
        <w:rPr>
          <w:sz w:val="20"/>
          <w:szCs w:val="20"/>
          <w:color w:val="auto"/>
        </w:rPr>
      </w:pPr>
    </w:p>
    <w:p>
      <w:pPr>
        <w:jc w:val="both"/>
        <w:ind w:left="40" w:firstLine="648"/>
        <w:spacing w:after="0" w:line="271"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Manner of Payment.</w:t>
      </w:r>
      <w:r>
        <w:rPr>
          <w:rFonts w:ascii="Arial" w:cs="Arial" w:eastAsia="Arial" w:hAnsi="Arial"/>
          <w:sz w:val="17"/>
          <w:szCs w:val="17"/>
          <w:color w:val="auto"/>
        </w:rPr>
        <w:t xml:space="preserve"> Each payment by the Borrower on account of the principal of or interest on the Loans or of any fee, commission or other amounts (including the Reimbursement Obligation) payable to the Lenders under this Agreement shall be made not later than 3:00 p.m. on the date specified for payment under this Agreement to the Administrative Agent at the Administrative Agent’s Office for the account of the Lenders entitled to such payment in Dollars, in immediately available funds and shall be made without any set off, counterclaim or deduction whatsoever. Any payment received after such time but before 4:00 p.m. on such day shall be deemed a payment on such date for the purposes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but for all other purposes shall be deemed to have been made on the next succeeding Business Day. Any payment received after 4:00 p.m. shall be deemed to have been made on the next succeeding Business Day for all purposes. Upon receipt by the Administrative Agent of each such payment, the Administrative Agent shall distribute to each such Lender at its address for notices set forth</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320" w:top="584" w:right="239" w:bottom="1440" w:gutter="0" w:footer="0" w:header="0"/>
        </w:sectPr>
      </w:pPr>
    </w:p>
    <w:bookmarkStart w:id="116" w:name="page117"/>
    <w:bookmarkEnd w:id="116"/>
    <w:p>
      <w:pPr>
        <w:jc w:val="both"/>
        <w:ind w:left="4"/>
        <w:spacing w:after="0" w:line="288" w:lineRule="auto"/>
        <w:rPr>
          <w:sz w:val="20"/>
          <w:szCs w:val="20"/>
          <w:color w:val="auto"/>
        </w:rPr>
      </w:pPr>
      <w:r>
        <w:rPr>
          <w:rFonts w:ascii="Arial" w:cs="Arial" w:eastAsia="Arial" w:hAnsi="Arial"/>
          <w:sz w:val="16"/>
          <w:szCs w:val="16"/>
          <w:color w:val="auto"/>
        </w:rPr>
        <w:t xml:space="preserve">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6"/>
          <w:szCs w:val="16"/>
          <w:u w:val="single" w:color="auto"/>
          <w:color w:val="auto"/>
        </w:rPr>
        <w:t>Sections 5.9, 5.10, 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 to such Defaulting Lender hereunder shall be applied in accordance with </w:t>
      </w:r>
      <w:r>
        <w:rPr>
          <w:rFonts w:ascii="Arial" w:cs="Arial" w:eastAsia="Arial" w:hAnsi="Arial"/>
          <w:sz w:val="16"/>
          <w:szCs w:val="16"/>
          <w:u w:val="single" w:color="auto"/>
          <w:color w:val="auto"/>
        </w:rPr>
        <w:t>Section 5.15(a)(ii).</w:t>
      </w:r>
    </w:p>
    <w:p>
      <w:pPr>
        <w:spacing w:after="0" w:line="200" w:lineRule="exact"/>
        <w:rPr>
          <w:sz w:val="20"/>
          <w:szCs w:val="20"/>
          <w:color w:val="auto"/>
        </w:rPr>
      </w:pPr>
    </w:p>
    <w:p>
      <w:pPr>
        <w:spacing w:after="0" w:line="253" w:lineRule="exact"/>
        <w:rPr>
          <w:sz w:val="20"/>
          <w:szCs w:val="20"/>
          <w:color w:val="auto"/>
        </w:rPr>
      </w:pPr>
    </w:p>
    <w:p>
      <w:pPr>
        <w:ind w:left="644"/>
        <w:spacing w:after="0"/>
        <w:tabs>
          <w:tab w:leader="none" w:pos="1844"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5"/>
          <w:szCs w:val="15"/>
          <w:u w:val="single" w:color="auto"/>
          <w:color w:val="auto"/>
        </w:rPr>
        <w:t>Evidence of Indebtedness.</w:t>
      </w:r>
    </w:p>
    <w:p>
      <w:pPr>
        <w:spacing w:after="0" w:line="252" w:lineRule="exact"/>
        <w:rPr>
          <w:sz w:val="20"/>
          <w:szCs w:val="20"/>
          <w:color w:val="auto"/>
        </w:rPr>
      </w:pPr>
    </w:p>
    <w:p>
      <w:pPr>
        <w:jc w:val="both"/>
        <w:ind w:left="4" w:firstLine="644"/>
        <w:spacing w:after="0" w:line="340" w:lineRule="auto"/>
        <w:tabs>
          <w:tab w:leader="none" w:pos="139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Extensions of Credit.</w:t>
      </w:r>
      <w:r>
        <w:rPr>
          <w:rFonts w:ascii="Arial" w:cs="Arial" w:eastAsia="Arial" w:hAnsi="Arial"/>
          <w:sz w:val="16"/>
          <w:szCs w:val="16"/>
          <w:color w:val="auto"/>
        </w:rPr>
        <w:t xml:space="preserve">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Revolving Credit Note, Term Loan Note and/or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171" w:lineRule="exact"/>
        <w:rPr>
          <w:rFonts w:ascii="Arial" w:cs="Arial" w:eastAsia="Arial" w:hAnsi="Arial"/>
          <w:sz w:val="16"/>
          <w:szCs w:val="16"/>
          <w:color w:val="auto"/>
        </w:rPr>
      </w:pPr>
    </w:p>
    <w:p>
      <w:pPr>
        <w:jc w:val="both"/>
        <w:ind w:left="4" w:firstLine="644"/>
        <w:spacing w:after="0" w:line="304" w:lineRule="auto"/>
        <w:tabs>
          <w:tab w:leader="none" w:pos="140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61"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6"/>
          <w:szCs w:val="16"/>
          <w:u w:val="single" w:color="auto"/>
          <w:color w:val="auto"/>
        </w:rPr>
        <w:t>Sections 5.9, 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Lender receiving such greater proportion shall (a) notify the Administrative Agent of such fact, and</w:t>
      </w:r>
    </w:p>
    <w:p>
      <w:pPr>
        <w:spacing w:after="0" w:line="2" w:lineRule="exact"/>
        <w:rPr>
          <w:sz w:val="20"/>
          <w:szCs w:val="20"/>
          <w:color w:val="auto"/>
        </w:rPr>
      </w:pPr>
    </w:p>
    <w:p>
      <w:pPr>
        <w:jc w:val="both"/>
        <w:ind w:left="4" w:hanging="4"/>
        <w:spacing w:after="0" w:line="311" w:lineRule="auto"/>
        <w:tabs>
          <w:tab w:leader="none" w:pos="7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rFonts w:ascii="Arial" w:cs="Arial" w:eastAsia="Arial" w:hAnsi="Arial"/>
          <w:sz w:val="18"/>
          <w:szCs w:val="18"/>
          <w:color w:val="auto"/>
        </w:rPr>
      </w:pPr>
    </w:p>
    <w:p>
      <w:pPr>
        <w:ind w:left="644" w:firstLine="653"/>
        <w:spacing w:after="0" w:line="324" w:lineRule="auto"/>
        <w:tabs>
          <w:tab w:leader="none" w:pos="2002" w:val="left"/>
        </w:tabs>
        <w:numPr>
          <w:ilvl w:val="2"/>
          <w:numId w:val="96"/>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83" w:lineRule="exact"/>
        <w:rPr>
          <w:rFonts w:ascii="Arial" w:cs="Arial" w:eastAsia="Arial" w:hAnsi="Arial"/>
          <w:sz w:val="18"/>
          <w:szCs w:val="18"/>
          <w:color w:val="auto"/>
        </w:rPr>
      </w:pPr>
    </w:p>
    <w:p>
      <w:pPr>
        <w:ind w:left="644" w:right="20" w:firstLine="653"/>
        <w:spacing w:after="0" w:line="298" w:lineRule="auto"/>
        <w:tabs>
          <w:tab w:leader="none" w:pos="2052" w:val="left"/>
        </w:tabs>
        <w:numPr>
          <w:ilvl w:val="2"/>
          <w:numId w:val="96"/>
        </w:numPr>
        <w:rPr>
          <w:rFonts w:ascii="Arial" w:cs="Arial" w:eastAsia="Arial" w:hAnsi="Arial"/>
          <w:sz w:val="17"/>
          <w:szCs w:val="17"/>
          <w:color w:val="auto"/>
        </w:rPr>
      </w:pPr>
      <w:r>
        <w:rPr>
          <w:rFonts w:ascii="Arial" w:cs="Arial" w:eastAsia="Arial" w:hAnsi="Arial"/>
          <w:sz w:val="17"/>
          <w:szCs w:val="17"/>
          <w:color w:val="auto"/>
        </w:rPr>
        <w:t>the provisions of this paragraph shall not be construed to apply to (A) any payment made by the Borrower pursuant to and in accordance with the express terms of this Agreement (including the application of funds arising from the existence of a Defaulting Lender),</w:t>
      </w:r>
    </w:p>
    <w:p>
      <w:pPr>
        <w:spacing w:after="0" w:line="1" w:lineRule="exact"/>
        <w:rPr>
          <w:rFonts w:ascii="Arial" w:cs="Arial" w:eastAsia="Arial" w:hAnsi="Arial"/>
          <w:sz w:val="17"/>
          <w:szCs w:val="17"/>
          <w:color w:val="auto"/>
        </w:rPr>
      </w:pPr>
    </w:p>
    <w:p>
      <w:pPr>
        <w:jc w:val="both"/>
        <w:ind w:left="644" w:firstLine="4"/>
        <w:spacing w:after="0" w:line="263" w:lineRule="auto"/>
        <w:tabs>
          <w:tab w:leader="none" w:pos="9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application of Cash Collateral provided for in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(C) any payment obtained by a Lender as consideration for the assignment of or sale of a participation in any of its Loans or participations in Swingline Loans and Letters of Credit to any assignee or participant, other than to Holdings or any of its Subsidiaries or Affiliates (as to which the provisions of this paragraph shall apply).</w:t>
      </w:r>
    </w:p>
    <w:p>
      <w:pPr>
        <w:spacing w:after="0" w:line="21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4"/>
          </w:cols>
          <w:pgMar w:left="356" w:top="584" w:right="239" w:bottom="1440" w:gutter="0" w:footer="0" w:header="0"/>
        </w:sectPr>
      </w:pPr>
    </w:p>
    <w:bookmarkStart w:id="117" w:name="page118"/>
    <w:bookmarkEnd w:id="117"/>
    <w:p>
      <w:pPr>
        <w:jc w:val="both"/>
        <w:ind w:left="40"/>
        <w:spacing w:after="0" w:line="264"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95" w:lineRule="exact"/>
        <w:rPr>
          <w:sz w:val="20"/>
          <w:szCs w:val="20"/>
          <w:color w:val="auto"/>
        </w:rPr>
      </w:pPr>
    </w:p>
    <w:p>
      <w:pPr>
        <w:ind w:left="680"/>
        <w:spacing w:after="0"/>
        <w:tabs>
          <w:tab w:leader="none" w:pos="18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Administrative Agent’s Clawback.</w:t>
      </w:r>
    </w:p>
    <w:p>
      <w:pPr>
        <w:spacing w:after="0" w:line="252" w:lineRule="exact"/>
        <w:rPr>
          <w:sz w:val="20"/>
          <w:szCs w:val="20"/>
          <w:color w:val="auto"/>
        </w:rPr>
      </w:pPr>
    </w:p>
    <w:p>
      <w:pPr>
        <w:ind w:left="1420" w:hanging="763"/>
        <w:spacing w:after="0"/>
        <w:tabs>
          <w:tab w:leader="none" w:pos="142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w:t>
      </w:r>
    </w:p>
    <w:p>
      <w:pPr>
        <w:spacing w:after="0" w:line="72" w:lineRule="exact"/>
        <w:rPr>
          <w:rFonts w:ascii="Arial" w:cs="Arial" w:eastAsia="Arial" w:hAnsi="Arial"/>
          <w:sz w:val="16"/>
          <w:szCs w:val="16"/>
          <w:color w:val="auto"/>
        </w:rPr>
      </w:pPr>
    </w:p>
    <w:p>
      <w:pPr>
        <w:jc w:val="both"/>
        <w:ind w:firstLine="9"/>
        <w:spacing w:after="0" w:line="318" w:lineRule="auto"/>
        <w:tabs>
          <w:tab w:leader="none" w:pos="229"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in the case of Base Rate Loans, not later than 12:00 noon on the date of any proposed borrowing and (ii)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Sections 2.3(b)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greater of the daily average Federal Funds Rate and a rate determined by the Administrative Agent in accordance with banking industry rules on interbank compensation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4" w:lineRule="exact"/>
        <w:rPr>
          <w:rFonts w:ascii="Arial" w:cs="Arial" w:eastAsia="Arial" w:hAnsi="Arial"/>
          <w:sz w:val="17"/>
          <w:szCs w:val="17"/>
          <w:color w:val="auto"/>
        </w:rPr>
      </w:pPr>
    </w:p>
    <w:p>
      <w:pPr>
        <w:jc w:val="both"/>
        <w:ind w:left="40" w:firstLine="644"/>
        <w:spacing w:after="0" w:line="320" w:lineRule="auto"/>
        <w:tabs>
          <w:tab w:leader="none" w:pos="1438" w:val="left"/>
        </w:tabs>
        <w:numPr>
          <w:ilvl w:val="2"/>
          <w:numId w:val="98"/>
        </w:numPr>
        <w:rPr>
          <w:rFonts w:ascii="Arial" w:cs="Arial" w:eastAsia="Arial" w:hAnsi="Arial"/>
          <w:sz w:val="17"/>
          <w:szCs w:val="17"/>
          <w:color w:val="auto"/>
        </w:rPr>
      </w:pPr>
      <w:r>
        <w:rPr>
          <w:rFonts w:ascii="Arial" w:cs="Arial" w:eastAsia="Arial" w:hAnsi="Arial"/>
          <w:sz w:val="17"/>
          <w:szCs w:val="17"/>
          <w:u w:val="single" w:color="auto"/>
          <w:color w:val="auto"/>
        </w:rPr>
        <w:t>Payments by the Borrower; Presumptions by Administrative Agent.</w:t>
      </w:r>
      <w:r>
        <w:rPr>
          <w:rFonts w:ascii="Arial" w:cs="Arial" w:eastAsia="Arial" w:hAnsi="Arial"/>
          <w:sz w:val="17"/>
          <w:szCs w:val="17"/>
          <w:color w:val="auto"/>
        </w:rPr>
        <w:t xml:space="preserve"> Unless the Administrative Agent shall have received notice from the Borrower prior to the date on which any payment is due to the Administrative Agent for the account of the Lenders, any Issuing Lender or the Swingline Lender hereunder that the Borrower will not make such payment, the Administrative Agent may assume that the Borrower has made such payment on such date in accordance herewith and may, in reliance upon such assumption, distribute to the Lenders, any Issuing Lender or the Swingline Lender, as the case may be, the amount due. In such event, if the Borrower has not in fact made such payment, then each of the Lenders, any Issuing Lender or the Swingline Lender, as the case maybe, severally agrees to repay to the Administrative Agent forthwith on demand the amount so distributed to such Lender, Issuing Lender or the Swingline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9" w:lineRule="exact"/>
        <w:rPr>
          <w:rFonts w:ascii="Arial" w:cs="Arial" w:eastAsia="Arial" w:hAnsi="Arial"/>
          <w:sz w:val="17"/>
          <w:szCs w:val="17"/>
          <w:color w:val="auto"/>
        </w:rPr>
      </w:pPr>
    </w:p>
    <w:p>
      <w:pPr>
        <w:jc w:val="both"/>
        <w:ind w:left="40" w:firstLine="644"/>
        <w:spacing w:after="0" w:line="304" w:lineRule="auto"/>
        <w:tabs>
          <w:tab w:leader="none" w:pos="1428" w:val="left"/>
        </w:tabs>
        <w:numPr>
          <w:ilvl w:val="2"/>
          <w:numId w:val="98"/>
        </w:numPr>
        <w:rPr>
          <w:rFonts w:ascii="Arial" w:cs="Arial" w:eastAsia="Arial" w:hAnsi="Arial"/>
          <w:sz w:val="18"/>
          <w:szCs w:val="18"/>
          <w:color w:val="auto"/>
        </w:rPr>
      </w:pPr>
      <w:r>
        <w:rPr>
          <w:rFonts w:ascii="Arial" w:cs="Arial" w:eastAsia="Arial" w:hAnsi="Arial"/>
          <w:sz w:val="18"/>
          <w:szCs w:val="18"/>
          <w:u w:val="single" w:color="auto"/>
          <w:color w:val="auto"/>
        </w:rPr>
        <w:t>Nature of Obligations of Lenders Regarding Extensions of Credit.</w:t>
      </w:r>
      <w:r>
        <w:rPr>
          <w:rFonts w:ascii="Arial" w:cs="Arial" w:eastAsia="Arial" w:hAnsi="Arial"/>
          <w:sz w:val="18"/>
          <w:szCs w:val="18"/>
          <w:color w:val="auto"/>
        </w:rPr>
        <w:t xml:space="preserve"> The obligations of the Lenders under this Agreement to make the Loans and issue or participate in Letters of Credit are several and are not joint or joint and several. The failure of any Lender to make available its Commitment Percentage of any Loan requested by the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22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Changed Circumstances.</w:t>
      </w:r>
    </w:p>
    <w:p>
      <w:pPr>
        <w:spacing w:after="0" w:line="252" w:lineRule="exact"/>
        <w:rPr>
          <w:sz w:val="20"/>
          <w:szCs w:val="20"/>
          <w:color w:val="auto"/>
        </w:rPr>
      </w:pPr>
    </w:p>
    <w:p>
      <w:pPr>
        <w:jc w:val="both"/>
        <w:ind w:firstLine="657"/>
        <w:spacing w:after="0" w:line="341" w:lineRule="auto"/>
        <w:tabs>
          <w:tab w:leader="none" w:pos="140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Circumstances Affecting LIBOR Rate Availability</w:t>
      </w:r>
      <w:r>
        <w:rPr>
          <w:rFonts w:ascii="Arial" w:cs="Arial" w:eastAsia="Arial" w:hAnsi="Arial"/>
          <w:sz w:val="16"/>
          <w:szCs w:val="16"/>
          <w:color w:val="auto"/>
        </w:rPr>
        <w:t>. In connection with any request for a LIBOR Rate Loan or a conversion to or continuation thereof, if for any reason (i) the Administrative Agent shall determine (which determination shall be conclusive and binding absent manifest error) that Dollar deposits are not being offered to banks in the London interbank Eurodollar market for the applicable amount and Interest Period of such Loan, (ii) the Administrative Agent shall determine (which determination shall be conclusive and binding absent manifest error) that reasonable and adequate means do not exist for the ascertaining the LIBOR Rate for such Interest Period with respect to a proposed LIBOR Rate Loan or (iii) the Required Lenders shall determine (which determination shall be conclusive and binding absent manifest error) that the LIBOR Rate does not adequately and fairly reflect the cost to such Lenders of making or maintaining such Loans during such Interest Period, then the Administrative Agent shall promptly give notice thereof to the Borrower. Thereafter, until the Administrative Agent notifies the Borrower that such circumstances no longer exist, the obligation of the Lenders to make LIBOR Rate Loans and the right of the Borrower to convert any Loan to or continue any Loan as a LIBOR Rate Loan shall be suspended, and the Borrower shall either (A) repay in full (or cause to be repaid in full) the then outstanding principal amount of each such LIBOR Rate Loan</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320" w:top="652" w:right="2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 xml:space="preserve">together with accrued interest thereon (subject to </w:t>
      </w:r>
      <w:r>
        <w:rPr>
          <w:rFonts w:ascii="Arial" w:cs="Arial" w:eastAsia="Arial" w:hAnsi="Arial"/>
          <w:sz w:val="16"/>
          <w:szCs w:val="16"/>
          <w:u w:val="single" w:color="auto"/>
          <w:color w:val="auto"/>
        </w:rPr>
        <w:t>Section 5.1(d))</w:t>
      </w:r>
      <w:r>
        <w:rPr>
          <w:rFonts w:ascii="Arial" w:cs="Arial" w:eastAsia="Arial" w:hAnsi="Arial"/>
          <w:sz w:val="16"/>
          <w:szCs w:val="16"/>
          <w:color w:val="auto"/>
        </w:rPr>
        <w:t>, on the last day of the then current Interest Period applicable to such LIBOR Rate Loan; or</w:t>
      </w:r>
    </w:p>
    <w:p>
      <w:pPr>
        <w:spacing w:after="0" w:line="73" w:lineRule="exact"/>
        <w:rPr>
          <w:sz w:val="20"/>
          <w:szCs w:val="20"/>
          <w:color w:val="auto"/>
        </w:rPr>
      </w:pPr>
    </w:p>
    <w:p>
      <w:pPr>
        <w:ind w:left="300" w:hanging="291"/>
        <w:spacing w:after="0"/>
        <w:tabs>
          <w:tab w:leader="none" w:pos="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convert the then outstanding principal amount of each such LIBOR Rate Loan to a Base Rate Loan as of the last day of such Interest Period.</w:t>
      </w:r>
    </w:p>
    <w:p>
      <w:pPr>
        <w:spacing w:after="0" w:line="277" w:lineRule="exact"/>
        <w:rPr>
          <w:rFonts w:ascii="Arial" w:cs="Arial" w:eastAsia="Arial" w:hAnsi="Arial"/>
          <w:sz w:val="17"/>
          <w:szCs w:val="17"/>
          <w:color w:val="auto"/>
        </w:rPr>
      </w:pPr>
    </w:p>
    <w:p>
      <w:pPr>
        <w:jc w:val="both"/>
        <w:ind w:firstLine="657"/>
        <w:spacing w:after="0" w:line="315" w:lineRule="auto"/>
        <w:tabs>
          <w:tab w:leader="none" w:pos="1412"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Laws Affecting LIBOR Rate Availability.</w:t>
      </w:r>
      <w:r>
        <w:rPr>
          <w:rFonts w:ascii="Arial" w:cs="Arial" w:eastAsia="Arial" w:hAnsi="Arial"/>
          <w:sz w:val="17"/>
          <w:szCs w:val="17"/>
          <w:color w:val="auto"/>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LIBOR Rate Loan, such Lender shall promptly give notice thereof to the Administrative Agent and the Administrative Agent shall promptly give notice to the Borrower and the other Lenders. Thereafter, until the Administrative Agent notifies the Borrower that such circumstances no longer exist,</w:t>
      </w:r>
    </w:p>
    <w:p>
      <w:pPr>
        <w:jc w:val="both"/>
        <w:ind w:firstLine="9"/>
        <w:spacing w:after="0" w:line="306" w:lineRule="auto"/>
        <w:tabs>
          <w:tab w:leader="none" w:pos="7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obligations of the Lenders to make LIBOR Rate Loans, and the right of the Borrower to convert any Loan to a LIBOR Rate Loan or continue any Loan as a LIBOR Rate Loan shall be suspended and thereafter the Borrower may select only Base Rate Loans and (ii) if any of the Lenders may not lawfully continue to maintain a LIBOR Rate Loan to the end of the then current Interest Period applicable thereto, the applicable Loan shall immediately be converted to a Base Rate Loan for the remainder of such Interest Period.</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Indemnity</w:t>
      </w:r>
      <w:r>
        <w:rPr>
          <w:rFonts w:ascii="Arial" w:cs="Arial" w:eastAsia="Arial" w:hAnsi="Arial"/>
          <w:sz w:val="17"/>
          <w:szCs w:val="17"/>
          <w:color w:val="auto"/>
        </w:rPr>
        <w:t>. The Borrower hereby indemnifies each of the Lenders against any loss or expense (including any loss or expense arising from the liquidation or reemployment of funds obtained by it to maintain a LIBOR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the Borrower to make any payment when due of any amount due hereunder in connection with a LIBOR Rate Loan, (b) due to any failure of the Borrower to borrow, continue or convert on a date specified therefor in a Notice of Borrowing or Notice of Conversion/Continuation or (c) due to any payment, prepayment or conversion of any LIBOR Rate Loan on a date other than the last day of the Interest Period therefor. The amount of such loss or expense shall be determined, in the applicable Lender’s sole discretion, based upon the assumption that such Lender funded its Commitment Percentage of the LIBOR Rate Loans in the London interbank market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Administrative Agent and shall be conclusively presumed to be correct save for manifest error.</w:t>
      </w:r>
    </w:p>
    <w:p>
      <w:pPr>
        <w:spacing w:after="0" w:line="183" w:lineRule="exact"/>
        <w:rPr>
          <w:sz w:val="20"/>
          <w:szCs w:val="20"/>
          <w:color w:val="auto"/>
        </w:rPr>
      </w:pPr>
    </w:p>
    <w:p>
      <w:pPr>
        <w:ind w:left="680"/>
        <w:spacing w:after="0"/>
        <w:tabs>
          <w:tab w:leader="none" w:pos="196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Increased Costs.</w:t>
      </w:r>
    </w:p>
    <w:p>
      <w:pPr>
        <w:spacing w:after="0" w:line="252" w:lineRule="exact"/>
        <w:rPr>
          <w:sz w:val="20"/>
          <w:szCs w:val="20"/>
          <w:color w:val="auto"/>
        </w:rPr>
      </w:pPr>
    </w:p>
    <w:p>
      <w:pPr>
        <w:ind w:left="1420" w:hanging="736"/>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65" w:lineRule="exact"/>
        <w:rPr>
          <w:rFonts w:ascii="Arial" w:cs="Arial" w:eastAsia="Arial" w:hAnsi="Arial"/>
          <w:sz w:val="18"/>
          <w:szCs w:val="18"/>
          <w:color w:val="auto"/>
        </w:rPr>
      </w:pPr>
    </w:p>
    <w:p>
      <w:pPr>
        <w:jc w:val="both"/>
        <w:ind w:left="680" w:firstLine="653"/>
        <w:spacing w:after="0" w:line="311" w:lineRule="auto"/>
        <w:tabs>
          <w:tab w:leader="none" w:pos="203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195" w:lineRule="exact"/>
        <w:rPr>
          <w:sz w:val="20"/>
          <w:szCs w:val="20"/>
          <w:color w:val="auto"/>
        </w:rPr>
      </w:pPr>
    </w:p>
    <w:p>
      <w:pPr>
        <w:jc w:val="both"/>
        <w:ind w:left="660" w:firstLine="646"/>
        <w:spacing w:after="0" w:line="311" w:lineRule="auto"/>
        <w:tabs>
          <w:tab w:leader="none" w:pos="208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1" w:lineRule="exact"/>
        <w:rPr>
          <w:rFonts w:ascii="Arial" w:cs="Arial" w:eastAsia="Arial" w:hAnsi="Arial"/>
          <w:sz w:val="18"/>
          <w:szCs w:val="18"/>
          <w:color w:val="auto"/>
        </w:rPr>
      </w:pPr>
    </w:p>
    <w:p>
      <w:pPr>
        <w:ind w:left="660" w:firstLine="646"/>
        <w:spacing w:after="0" w:line="357" w:lineRule="auto"/>
        <w:tabs>
          <w:tab w:leader="none" w:pos="213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impose on any Lender or any Issuing Lender or the London interbank market any other condition, cost or expense (other than Taxes) affecting this Agreement or LIBOR Rate Loans made by such Lender or any Letter of Credit or participation therein;</w:t>
      </w:r>
    </w:p>
    <w:p>
      <w:pPr>
        <w:spacing w:after="0" w:line="121" w:lineRule="exact"/>
        <w:rPr>
          <w:sz w:val="20"/>
          <w:szCs w:val="20"/>
          <w:color w:val="auto"/>
        </w:rPr>
      </w:pPr>
    </w:p>
    <w:p>
      <w:pPr>
        <w:jc w:val="both"/>
        <w:ind w:left="40"/>
        <w:spacing w:after="0" w:line="272" w:lineRule="auto"/>
        <w:rPr>
          <w:sz w:val="20"/>
          <w:szCs w:val="20"/>
          <w:color w:val="auto"/>
        </w:rPr>
      </w:pPr>
      <w:r>
        <w:rPr>
          <w:rFonts w:ascii="Arial" w:cs="Arial" w:eastAsia="Arial" w:hAnsi="Arial"/>
          <w:sz w:val="17"/>
          <w:szCs w:val="17"/>
          <w:color w:val="auto"/>
        </w:rPr>
        <w:t>and the result of any of the foregoing shall be to increase the cost to such Lender, any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320" w:top="611" w:right="239" w:bottom="1440" w:gutter="0" w:footer="0" w:header="0"/>
        </w:sectPr>
      </w:pPr>
    </w:p>
    <w:bookmarkStart w:id="119" w:name="page120"/>
    <w:bookmarkEnd w:id="119"/>
    <w:p>
      <w:pPr>
        <w:jc w:val="both"/>
        <w:ind w:firstLine="617"/>
        <w:spacing w:after="0" w:line="315" w:lineRule="auto"/>
        <w:tabs>
          <w:tab w:leader="none" w:pos="138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then from time to time upon written request of such Lender or such Issuing Lender the Borrower shall promptly pay to such Lender or such Issuing Lender, as the case may be, such additional amount or amounts as will compensate such Lender or such Issuing Lender or such Lender’s or such Issuing Lender’s holding company for any such reduction suffered.</w:t>
      </w:r>
    </w:p>
    <w:p>
      <w:pPr>
        <w:jc w:val="both"/>
        <w:ind w:firstLine="644"/>
        <w:spacing w:after="0" w:line="304" w:lineRule="auto"/>
        <w:tabs>
          <w:tab w:leader="none" w:pos="1388"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an Issuing Lender or such other Recipient setting forth in reasonable detail the amount or amounts necessary to compensate such Lender or such Issuing Lender, such other Recipient or any of their respective holding companies, as the case may be, as specified in paragraph (a) or (b) of this Section and delivered to the Borrower, shall be conclusive absent manifest error. The Borrower shall pay such Lender or such Issuing Lender or such other Recipient, as the case may be, the amount shown as due on any such certificate within thirty (30) days after receipt thereof.</w:t>
      </w:r>
    </w:p>
    <w:p>
      <w:pPr>
        <w:spacing w:after="0" w:line="188" w:lineRule="exact"/>
        <w:rPr>
          <w:rFonts w:ascii="Arial" w:cs="Arial" w:eastAsia="Arial" w:hAnsi="Arial"/>
          <w:sz w:val="18"/>
          <w:szCs w:val="18"/>
          <w:color w:val="auto"/>
        </w:rPr>
      </w:pPr>
    </w:p>
    <w:p>
      <w:pPr>
        <w:jc w:val="both"/>
        <w:ind w:firstLine="644"/>
        <w:spacing w:after="0" w:line="344" w:lineRule="auto"/>
        <w:tabs>
          <w:tab w:leader="none" w:pos="1398"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3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5"/>
          <w:szCs w:val="15"/>
          <w:u w:val="single" w:color="auto"/>
          <w:color w:val="auto"/>
        </w:rPr>
        <w:t>Taxes.</w:t>
      </w:r>
    </w:p>
    <w:p>
      <w:pPr>
        <w:spacing w:after="0" w:line="252" w:lineRule="exact"/>
        <w:rPr>
          <w:sz w:val="20"/>
          <w:szCs w:val="20"/>
          <w:color w:val="auto"/>
        </w:rPr>
      </w:pPr>
    </w:p>
    <w:p>
      <w:pPr>
        <w:ind w:left="1380" w:hanging="736"/>
        <w:spacing w:after="0"/>
        <w:tabs>
          <w:tab w:leader="none" w:pos="138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the term “Lender” includes any Issuing Lender and the term “Applicable Law”</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includes FATCA.</w:t>
      </w:r>
    </w:p>
    <w:p>
      <w:pPr>
        <w:spacing w:after="0" w:line="279" w:lineRule="exact"/>
        <w:rPr>
          <w:rFonts w:ascii="Arial" w:cs="Arial" w:eastAsia="Arial" w:hAnsi="Arial"/>
          <w:sz w:val="17"/>
          <w:szCs w:val="17"/>
          <w:color w:val="auto"/>
        </w:rPr>
      </w:pPr>
    </w:p>
    <w:p>
      <w:pPr>
        <w:jc w:val="both"/>
        <w:ind w:firstLine="644"/>
        <w:spacing w:after="0" w:line="301" w:lineRule="auto"/>
        <w:tabs>
          <w:tab w:leader="none" w:pos="139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2" w:lineRule="exact"/>
        <w:rPr>
          <w:rFonts w:ascii="Arial" w:cs="Arial" w:eastAsia="Arial" w:hAnsi="Arial"/>
          <w:sz w:val="18"/>
          <w:szCs w:val="18"/>
          <w:color w:val="auto"/>
        </w:rPr>
      </w:pPr>
    </w:p>
    <w:p>
      <w:pPr>
        <w:ind w:firstLine="644"/>
        <w:spacing w:after="0" w:line="324" w:lineRule="auto"/>
        <w:tabs>
          <w:tab w:leader="none" w:pos="138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Credit Parties.</w:t>
      </w:r>
      <w:r>
        <w:rPr>
          <w:rFonts w:ascii="Arial" w:cs="Arial" w:eastAsia="Arial" w:hAnsi="Arial"/>
          <w:sz w:val="18"/>
          <w:szCs w:val="18"/>
          <w:color w:val="auto"/>
        </w:rPr>
        <w:t xml:space="preserve"> The Credit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jc w:val="both"/>
        <w:ind w:firstLine="644"/>
        <w:spacing w:after="0" w:line="302" w:lineRule="auto"/>
        <w:tabs>
          <w:tab w:leader="none" w:pos="139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Indemnification by the Credit Parties.</w:t>
      </w:r>
      <w:r>
        <w:rPr>
          <w:rFonts w:ascii="Arial" w:cs="Arial" w:eastAsia="Arial" w:hAnsi="Arial"/>
          <w:sz w:val="18"/>
          <w:szCs w:val="18"/>
          <w:color w:val="auto"/>
        </w:rPr>
        <w:t xml:space="preserve"> The Credit Parties shall jointly and severally indemnify each Recipient, within twenty (20)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in reasonable detail, delivered to the Borrower by a Recipient (with a copy to the Administrative Agent), or by the</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Administrative Agent on its own behalf or on behalf of a Recipient, shall be conclusive absent manifest error.</w:t>
      </w:r>
    </w:p>
    <w:p>
      <w:pPr>
        <w:sectPr>
          <w:pgSz w:w="11900" w:h="16838" w:orient="portrait"/>
          <w:cols w:equalWidth="0" w:num="1">
            <w:col w:w="11300"/>
          </w:cols>
          <w:pgMar w:left="360" w:top="827"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00"/>
          </w:cols>
          <w:pgMar w:left="360" w:top="827" w:right="239" w:bottom="1440" w:gutter="0" w:footer="0" w:header="0"/>
          <w:type w:val="continuous"/>
        </w:sectPr>
      </w:pPr>
    </w:p>
    <w:bookmarkStart w:id="120" w:name="page121"/>
    <w:bookmarkEnd w:id="120"/>
    <w:p>
      <w:pPr>
        <w:ind w:left="656" w:hanging="656"/>
        <w:spacing w:after="0"/>
        <w:tabs>
          <w:tab w:leader="none" w:pos="65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52" w:lineRule="exact"/>
        <w:rPr>
          <w:rFonts w:ascii="Arial" w:cs="Arial" w:eastAsia="Arial" w:hAnsi="Arial"/>
          <w:sz w:val="18"/>
          <w:szCs w:val="18"/>
          <w:color w:val="auto"/>
        </w:rPr>
      </w:pPr>
    </w:p>
    <w:p>
      <w:pPr>
        <w:jc w:val="both"/>
        <w:ind w:left="-644" w:firstLine="644"/>
        <w:spacing w:after="0" w:line="306" w:lineRule="auto"/>
        <w:tabs>
          <w:tab w:leader="none" w:pos="72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any Credit Party to a Governmental Authority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9" w:lineRule="exact"/>
        <w:rPr>
          <w:rFonts w:ascii="Arial" w:cs="Arial" w:eastAsia="Arial" w:hAnsi="Arial"/>
          <w:sz w:val="18"/>
          <w:szCs w:val="18"/>
          <w:color w:val="auto"/>
        </w:rPr>
      </w:pPr>
    </w:p>
    <w:p>
      <w:pPr>
        <w:ind w:left="656" w:hanging="656"/>
        <w:spacing w:after="0"/>
        <w:tabs>
          <w:tab w:leader="none" w:pos="65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Status of Lenders.</w:t>
      </w:r>
    </w:p>
    <w:p>
      <w:pPr>
        <w:spacing w:after="0" w:line="252" w:lineRule="exact"/>
        <w:rPr>
          <w:rFonts w:ascii="Arial" w:cs="Arial" w:eastAsia="Arial" w:hAnsi="Arial"/>
          <w:sz w:val="18"/>
          <w:szCs w:val="18"/>
          <w:color w:val="auto"/>
        </w:rPr>
      </w:pPr>
    </w:p>
    <w:p>
      <w:pPr>
        <w:jc w:val="both"/>
        <w:ind w:left="-4" w:firstLine="653"/>
        <w:spacing w:after="0" w:line="341" w:lineRule="auto"/>
        <w:tabs>
          <w:tab w:leader="none" w:pos="135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5.11(g)(ii)(A), (ii)(B)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8" w:lineRule="exact"/>
        <w:rPr>
          <w:sz w:val="20"/>
          <w:szCs w:val="20"/>
          <w:color w:val="auto"/>
        </w:rPr>
      </w:pPr>
    </w:p>
    <w:p>
      <w:pPr>
        <w:ind w:left="1396" w:hanging="774"/>
        <w:spacing w:after="0"/>
        <w:tabs>
          <w:tab w:leader="none" w:pos="13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79" w:lineRule="exact"/>
        <w:rPr>
          <w:rFonts w:ascii="Arial" w:cs="Arial" w:eastAsia="Arial" w:hAnsi="Arial"/>
          <w:sz w:val="18"/>
          <w:szCs w:val="18"/>
          <w:color w:val="auto"/>
        </w:rPr>
      </w:pPr>
    </w:p>
    <w:p>
      <w:pPr>
        <w:jc w:val="both"/>
        <w:ind w:left="616" w:firstLine="654"/>
        <w:spacing w:after="0" w:line="306" w:lineRule="auto"/>
        <w:tabs>
          <w:tab w:leader="none" w:pos="206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United States federal backup withholding tax;</w:t>
      </w:r>
    </w:p>
    <w:p>
      <w:pPr>
        <w:spacing w:after="0" w:line="200" w:lineRule="exact"/>
        <w:rPr>
          <w:rFonts w:ascii="Arial" w:cs="Arial" w:eastAsia="Arial" w:hAnsi="Arial"/>
          <w:sz w:val="18"/>
          <w:szCs w:val="18"/>
          <w:color w:val="auto"/>
        </w:rPr>
      </w:pPr>
    </w:p>
    <w:p>
      <w:pPr>
        <w:jc w:val="both"/>
        <w:ind w:left="616" w:firstLine="654"/>
        <w:spacing w:after="0" w:line="306" w:lineRule="auto"/>
        <w:tabs>
          <w:tab w:leader="none" w:pos="205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0" w:lineRule="exact"/>
        <w:rPr>
          <w:rFonts w:ascii="Arial" w:cs="Arial" w:eastAsia="Arial" w:hAnsi="Arial"/>
          <w:sz w:val="18"/>
          <w:szCs w:val="18"/>
          <w:color w:val="auto"/>
        </w:rPr>
      </w:pPr>
    </w:p>
    <w:p>
      <w:pPr>
        <w:jc w:val="both"/>
        <w:ind w:left="1276" w:firstLine="642"/>
        <w:spacing w:after="0" w:line="311" w:lineRule="auto"/>
        <w:tabs>
          <w:tab w:leader="none" w:pos="268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United States federal</w:t>
      </w:r>
    </w:p>
    <w:p>
      <w:pPr>
        <w:spacing w:after="0" w:line="222" w:lineRule="exact"/>
        <w:rPr>
          <w:sz w:val="20"/>
          <w:szCs w:val="20"/>
          <w:color w:val="auto"/>
        </w:rPr>
      </w:pPr>
    </w:p>
    <w:p>
      <w:pPr>
        <w:jc w:val="both"/>
        <w:ind w:left="936"/>
        <w:spacing w:after="0" w:line="264" w:lineRule="auto"/>
        <w:rPr>
          <w:sz w:val="20"/>
          <w:szCs w:val="20"/>
          <w:color w:val="auto"/>
        </w:rPr>
      </w:pPr>
      <w:r>
        <w:rPr>
          <w:rFonts w:ascii="Arial" w:cs="Arial" w:eastAsia="Arial" w:hAnsi="Arial"/>
          <w:sz w:val="18"/>
          <w:szCs w:val="18"/>
          <w:color w:val="auto"/>
        </w:rPr>
        <w:t>withholding Tax pursuant to the “interest” article of such tax treaty and (y) with respect to any other applicable payments under any Loan Document, IRS Form W-8BEN establishing an exemption from, or reduction of, United States federal withholding Tax pursuant to the “business profits” or “other income” article of such tax treaty;</w:t>
      </w:r>
    </w:p>
    <w:p>
      <w:pPr>
        <w:spacing w:after="0" w:line="195" w:lineRule="exact"/>
        <w:rPr>
          <w:sz w:val="20"/>
          <w:szCs w:val="20"/>
          <w:color w:val="auto"/>
        </w:rPr>
      </w:pPr>
    </w:p>
    <w:p>
      <w:pPr>
        <w:ind w:left="2216" w:hanging="649"/>
        <w:spacing w:after="0"/>
        <w:tabs>
          <w:tab w:leader="none" w:pos="221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265" w:lineRule="exact"/>
        <w:rPr>
          <w:rFonts w:ascii="Arial" w:cs="Arial" w:eastAsia="Arial" w:hAnsi="Arial"/>
          <w:sz w:val="18"/>
          <w:szCs w:val="18"/>
          <w:color w:val="auto"/>
        </w:rPr>
      </w:pPr>
    </w:p>
    <w:p>
      <w:pPr>
        <w:jc w:val="both"/>
        <w:ind w:left="936" w:firstLine="644"/>
        <w:spacing w:after="0" w:line="291" w:lineRule="auto"/>
        <w:tabs>
          <w:tab w:leader="none" w:pos="203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b w:val="1"/>
          <w:bCs w:val="1"/>
          <w:i w:val="1"/>
          <w:iCs w:val="1"/>
          <w:color w:val="auto"/>
        </w:rPr>
        <w:t>Exhibit H-1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1196" w:hanging="264"/>
        <w:spacing w:after="0"/>
        <w:tabs>
          <w:tab w:leader="none" w:pos="119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executed originals of IRS Form W-8BEN; or</w:t>
      </w:r>
    </w:p>
    <w:p>
      <w:pPr>
        <w:spacing w:after="0" w:line="251" w:lineRule="exact"/>
        <w:rPr>
          <w:rFonts w:ascii="Arial" w:cs="Arial" w:eastAsia="Arial" w:hAnsi="Arial"/>
          <w:sz w:val="18"/>
          <w:szCs w:val="18"/>
          <w:color w:val="auto"/>
        </w:rPr>
      </w:pPr>
    </w:p>
    <w:p>
      <w:pPr>
        <w:ind w:left="916" w:firstLine="651"/>
        <w:spacing w:after="0" w:line="324" w:lineRule="auto"/>
        <w:tabs>
          <w:tab w:leader="none" w:pos="20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originals of IRS Form W-8IMY, accompanied by IRS Form W-8ECI, IRS Form W-8BEN, a U.S. Tax Compliance Certificate</w:t>
      </w:r>
    </w:p>
    <w:p>
      <w:pPr>
        <w:sectPr>
          <w:pgSz w:w="11900" w:h="16838" w:orient="portrait"/>
          <w:cols w:equalWidth="0" w:num="1">
            <w:col w:w="10656"/>
          </w:cols>
          <w:pgMar w:left="1004" w:top="584" w:right="239" w:bottom="1440" w:gutter="0" w:footer="0" w:header="0"/>
        </w:sectPr>
      </w:pPr>
    </w:p>
    <w:p>
      <w:pPr>
        <w:spacing w:after="0" w:line="170" w:lineRule="exact"/>
        <w:rPr>
          <w:sz w:val="20"/>
          <w:szCs w:val="20"/>
          <w:color w:val="auto"/>
        </w:rPr>
      </w:pPr>
    </w:p>
    <w:p>
      <w:pPr>
        <w:jc w:val="center"/>
        <w:ind w:right="764"/>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656"/>
          </w:cols>
          <w:pgMar w:left="1004" w:top="584" w:right="239" w:bottom="1440" w:gutter="0" w:footer="0" w:header="0"/>
          <w:type w:val="continuous"/>
        </w:sectPr>
      </w:pPr>
    </w:p>
    <w:bookmarkStart w:id="121" w:name="page122"/>
    <w:bookmarkEnd w:id="121"/>
    <w:p>
      <w:pPr>
        <w:jc w:val="both"/>
        <w:ind w:left="1600"/>
        <w:spacing w:after="0" w:line="306" w:lineRule="auto"/>
        <w:rPr>
          <w:sz w:val="20"/>
          <w:szCs w:val="20"/>
          <w:color w:val="auto"/>
        </w:rPr>
      </w:pPr>
      <w:r>
        <w:rPr>
          <w:rFonts w:ascii="Arial" w:cs="Arial" w:eastAsia="Arial" w:hAnsi="Arial"/>
          <w:sz w:val="18"/>
          <w:szCs w:val="18"/>
          <w:color w:val="auto"/>
        </w:rPr>
        <w:t xml:space="preserve">substantially in the form of </w:t>
      </w:r>
      <w:r>
        <w:rPr>
          <w:rFonts w:ascii="Arial" w:cs="Arial" w:eastAsia="Arial" w:hAnsi="Arial"/>
          <w:sz w:val="18"/>
          <w:szCs w:val="18"/>
          <w:b w:val="1"/>
          <w:bCs w:val="1"/>
          <w:i w:val="1"/>
          <w:iCs w:val="1"/>
          <w:color w:val="auto"/>
        </w:rPr>
        <w:t>Exhibit H-2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b w:val="1"/>
          <w:bCs w:val="1"/>
          <w:i w:val="1"/>
          <w:iCs w:val="1"/>
          <w:color w:val="auto"/>
        </w:rPr>
        <w:t>Exhibit H-4</w:t>
      </w:r>
      <w:r>
        <w:rPr>
          <w:rFonts w:ascii="Arial" w:cs="Arial" w:eastAsia="Arial" w:hAnsi="Arial"/>
          <w:sz w:val="18"/>
          <w:szCs w:val="18"/>
          <w:color w:val="auto"/>
        </w:rPr>
        <w:t xml:space="preserve"> on behalf of each such direct and indirect partner;</w:t>
      </w:r>
    </w:p>
    <w:p>
      <w:pPr>
        <w:spacing w:after="0" w:line="187" w:lineRule="exact"/>
        <w:rPr>
          <w:sz w:val="20"/>
          <w:szCs w:val="20"/>
          <w:color w:val="auto"/>
        </w:rPr>
      </w:pPr>
    </w:p>
    <w:p>
      <w:pPr>
        <w:jc w:val="both"/>
        <w:ind w:left="960" w:firstLine="643"/>
        <w:spacing w:after="0" w:line="323" w:lineRule="auto"/>
        <w:tabs>
          <w:tab w:leader="none" w:pos="211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0" w:lineRule="exact"/>
        <w:rPr>
          <w:rFonts w:ascii="Arial" w:cs="Arial" w:eastAsia="Arial" w:hAnsi="Arial"/>
          <w:sz w:val="17"/>
          <w:szCs w:val="17"/>
          <w:color w:val="auto"/>
        </w:rPr>
      </w:pPr>
    </w:p>
    <w:p>
      <w:pPr>
        <w:jc w:val="both"/>
        <w:ind w:left="960" w:firstLine="643"/>
        <w:spacing w:after="0" w:line="321" w:lineRule="auto"/>
        <w:tabs>
          <w:tab w:leader="none" w:pos="21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pacing w:after="0" w:line="1" w:lineRule="exact"/>
        <w:rPr>
          <w:rFonts w:ascii="Arial" w:cs="Arial" w:eastAsia="Arial" w:hAnsi="Arial"/>
          <w:sz w:val="17"/>
          <w:szCs w:val="17"/>
          <w:color w:val="auto"/>
        </w:rPr>
      </w:pPr>
    </w:p>
    <w:p>
      <w:pPr>
        <w:ind w:left="1340"/>
        <w:spacing w:after="0"/>
        <w:rPr>
          <w:rFonts w:ascii="Arial" w:cs="Arial" w:eastAsia="Arial" w:hAnsi="Arial"/>
          <w:sz w:val="17"/>
          <w:szCs w:val="17"/>
          <w:color w:val="auto"/>
        </w:rPr>
      </w:pPr>
      <w:r>
        <w:rPr>
          <w:rFonts w:ascii="Arial" w:cs="Arial" w:eastAsia="Arial" w:hAnsi="Arial"/>
          <w:sz w:val="17"/>
          <w:szCs w:val="17"/>
          <w:color w:val="auto"/>
        </w:rPr>
        <w:t>Solely for purposes of this clause (D), “FATCA” shall include any amendments made to FATCA after the date of this Agreement.</w:t>
      </w:r>
    </w:p>
    <w:p>
      <w:pPr>
        <w:spacing w:after="0" w:line="250" w:lineRule="exact"/>
        <w:rPr>
          <w:sz w:val="20"/>
          <w:szCs w:val="20"/>
          <w:color w:val="auto"/>
        </w:rPr>
      </w:pPr>
    </w:p>
    <w:p>
      <w:pPr>
        <w:ind w:left="40" w:firstLine="648"/>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211" w:lineRule="exact"/>
        <w:rPr>
          <w:sz w:val="20"/>
          <w:szCs w:val="20"/>
          <w:color w:val="auto"/>
        </w:rPr>
      </w:pPr>
    </w:p>
    <w:p>
      <w:pPr>
        <w:jc w:val="both"/>
        <w:ind w:firstLine="657"/>
        <w:spacing w:after="0" w:line="318" w:lineRule="auto"/>
        <w:tabs>
          <w:tab w:leader="none" w:pos="1412"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(or a credit for overpayment of Taxes in lieu of a refund) of any Taxes as to which it has been indemnified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5" w:lineRule="exact"/>
        <w:rPr>
          <w:sz w:val="20"/>
          <w:szCs w:val="20"/>
          <w:color w:val="auto"/>
        </w:rPr>
      </w:pPr>
    </w:p>
    <w:p>
      <w:pPr>
        <w:jc w:val="both"/>
        <w:ind w:left="40" w:firstLine="644"/>
        <w:spacing w:after="0" w:line="321" w:lineRule="auto"/>
        <w:tabs>
          <w:tab w:leader="none" w:pos="139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Indemnification of the Administrative Agent.</w:t>
      </w:r>
      <w:r>
        <w:rPr>
          <w:rFonts w:ascii="Arial" w:cs="Arial" w:eastAsia="Arial" w:hAnsi="Arial"/>
          <w:sz w:val="17"/>
          <w:szCs w:val="17"/>
          <w:color w:val="auto"/>
        </w:rPr>
        <w:t xml:space="preserve"> Each Lender and each Issuing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7"/>
          <w:szCs w:val="17"/>
          <w:u w:val="single" w:color="auto"/>
          <w:color w:val="auto"/>
        </w:rPr>
        <w:t>Section 12.9(d)</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320" w:top="611" w:right="239" w:bottom="1440" w:gutter="0" w:footer="0" w:header="0"/>
        </w:sectPr>
      </w:pPr>
    </w:p>
    <w:bookmarkStart w:id="122" w:name="page123"/>
    <w:bookmarkEnd w:id="122"/>
    <w:p>
      <w:pPr>
        <w:jc w:val="both"/>
        <w:ind w:left="4"/>
        <w:spacing w:after="0" w:line="311" w:lineRule="auto"/>
        <w:rPr>
          <w:sz w:val="20"/>
          <w:szCs w:val="20"/>
          <w:color w:val="auto"/>
        </w:rPr>
      </w:pPr>
      <w:r>
        <w:rPr>
          <w:rFonts w:ascii="Arial" w:cs="Arial" w:eastAsia="Arial" w:hAnsi="Arial"/>
          <w:sz w:val="18"/>
          <w:szCs w:val="18"/>
          <w:color w:val="auto"/>
        </w:rPr>
        <w:t>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(i). The agreements in paragraph (i) shall survive the resignation and/or replacement of the Administrative Agent.</w:t>
      </w:r>
    </w:p>
    <w:p>
      <w:pPr>
        <w:spacing w:after="0" w:line="181" w:lineRule="exact"/>
        <w:rPr>
          <w:sz w:val="20"/>
          <w:szCs w:val="20"/>
          <w:color w:val="auto"/>
        </w:rPr>
      </w:pPr>
    </w:p>
    <w:p>
      <w:pPr>
        <w:jc w:val="both"/>
        <w:ind w:left="4" w:firstLine="644"/>
        <w:spacing w:after="0" w:line="311" w:lineRule="auto"/>
        <w:tabs>
          <w:tab w:leader="none" w:pos="136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5"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Mitigation Obligations; Replacement of Lenders.</w:t>
      </w:r>
    </w:p>
    <w:p>
      <w:pPr>
        <w:spacing w:after="0" w:line="252" w:lineRule="exact"/>
        <w:rPr>
          <w:sz w:val="20"/>
          <w:szCs w:val="20"/>
          <w:color w:val="auto"/>
        </w:rPr>
      </w:pPr>
    </w:p>
    <w:p>
      <w:pPr>
        <w:jc w:val="both"/>
        <w:ind w:left="4" w:firstLine="644"/>
        <w:spacing w:after="0" w:line="326" w:lineRule="auto"/>
        <w:tabs>
          <w:tab w:leader="none" w:pos="1392"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jc w:val="both"/>
        <w:ind w:left="4" w:hanging="4"/>
        <w:spacing w:after="0" w:line="263" w:lineRule="auto"/>
        <w:tabs>
          <w:tab w:leader="none" w:pos="23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would eliminate or reduce amounts payable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23" w:lineRule="exact"/>
        <w:rPr>
          <w:rFonts w:ascii="Arial" w:cs="Arial" w:eastAsia="Arial" w:hAnsi="Arial"/>
          <w:sz w:val="18"/>
          <w:szCs w:val="18"/>
          <w:color w:val="auto"/>
        </w:rPr>
      </w:pPr>
    </w:p>
    <w:p>
      <w:pPr>
        <w:jc w:val="both"/>
        <w:ind w:left="4" w:firstLine="644"/>
        <w:spacing w:after="0" w:line="301" w:lineRule="auto"/>
        <w:tabs>
          <w:tab w:leader="none" w:pos="1402"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2" w:lineRule="exact"/>
        <w:rPr>
          <w:rFonts w:ascii="Arial" w:cs="Arial" w:eastAsia="Arial" w:hAnsi="Arial"/>
          <w:sz w:val="18"/>
          <w:szCs w:val="18"/>
          <w:color w:val="auto"/>
        </w:rPr>
      </w:pPr>
    </w:p>
    <w:p>
      <w:pPr>
        <w:ind w:left="2004" w:hanging="707"/>
        <w:spacing w:after="0"/>
        <w:tabs>
          <w:tab w:leader="none" w:pos="2004"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12.9;</w:t>
      </w:r>
    </w:p>
    <w:p>
      <w:pPr>
        <w:spacing w:after="0" w:line="266" w:lineRule="exact"/>
        <w:rPr>
          <w:sz w:val="20"/>
          <w:szCs w:val="20"/>
          <w:color w:val="auto"/>
        </w:rPr>
      </w:pPr>
    </w:p>
    <w:p>
      <w:pPr>
        <w:jc w:val="both"/>
        <w:ind w:left="624" w:firstLine="646"/>
        <w:spacing w:after="0" w:line="306" w:lineRule="auto"/>
        <w:tabs>
          <w:tab w:leader="none" w:pos="20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participations in Letters of Credit,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from the assignee (to the extent of such outstanding principal and accrued interest and fees) or the Borrower (in the case of all other amounts);</w:t>
      </w:r>
    </w:p>
    <w:p>
      <w:pPr>
        <w:spacing w:after="0" w:line="186" w:lineRule="exact"/>
        <w:rPr>
          <w:rFonts w:ascii="Arial" w:cs="Arial" w:eastAsia="Arial" w:hAnsi="Arial"/>
          <w:sz w:val="18"/>
          <w:szCs w:val="18"/>
          <w:color w:val="auto"/>
        </w:rPr>
      </w:pPr>
    </w:p>
    <w:p>
      <w:pPr>
        <w:ind w:left="644" w:firstLine="653"/>
        <w:spacing w:after="0" w:line="357" w:lineRule="auto"/>
        <w:tabs>
          <w:tab w:leader="none" w:pos="210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such assignment will result in a reduction in such compensation or payments thereafter;</w:t>
      </w:r>
    </w:p>
    <w:p>
      <w:pPr>
        <w:spacing w:after="0" w:line="134" w:lineRule="exact"/>
        <w:rPr>
          <w:rFonts w:ascii="Arial" w:cs="Arial" w:eastAsia="Arial" w:hAnsi="Arial"/>
          <w:sz w:val="17"/>
          <w:szCs w:val="17"/>
          <w:color w:val="auto"/>
        </w:rPr>
      </w:pPr>
    </w:p>
    <w:p>
      <w:pPr>
        <w:ind w:left="1944" w:hanging="647"/>
        <w:spacing w:after="0"/>
        <w:tabs>
          <w:tab w:leader="none" w:pos="194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265" w:lineRule="exact"/>
        <w:rPr>
          <w:rFonts w:ascii="Arial" w:cs="Arial" w:eastAsia="Arial" w:hAnsi="Arial"/>
          <w:sz w:val="18"/>
          <w:szCs w:val="18"/>
          <w:color w:val="auto"/>
        </w:rPr>
      </w:pPr>
    </w:p>
    <w:p>
      <w:pPr>
        <w:ind w:left="644" w:firstLine="653"/>
        <w:spacing w:after="0" w:line="324" w:lineRule="auto"/>
        <w:tabs>
          <w:tab w:leader="none" w:pos="204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 Consenting Lender, the applicable assignee shall have consented to the applicable amendment, waiver or consent.</w:t>
      </w:r>
    </w:p>
    <w:p>
      <w:pPr>
        <w:spacing w:after="0" w:line="143"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38"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Incremental Loans.</w:t>
      </w:r>
    </w:p>
    <w:p>
      <w:pPr>
        <w:spacing w:after="0" w:line="252" w:lineRule="exact"/>
        <w:rPr>
          <w:sz w:val="20"/>
          <w:szCs w:val="20"/>
          <w:color w:val="auto"/>
        </w:rPr>
      </w:pPr>
    </w:p>
    <w:p>
      <w:pPr>
        <w:ind w:left="1384" w:hanging="736"/>
        <w:spacing w:after="0"/>
        <w:tabs>
          <w:tab w:leader="none" w:pos="138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any time, the Borrower may by written notice to the Administrative Agent elect to request the establishment of:</w:t>
      </w:r>
    </w:p>
    <w:p>
      <w:pPr>
        <w:spacing w:after="0" w:line="279" w:lineRule="exact"/>
        <w:rPr>
          <w:rFonts w:ascii="Arial" w:cs="Arial" w:eastAsia="Arial" w:hAnsi="Arial"/>
          <w:sz w:val="18"/>
          <w:szCs w:val="18"/>
          <w:color w:val="auto"/>
        </w:rPr>
      </w:pPr>
    </w:p>
    <w:p>
      <w:pPr>
        <w:ind w:left="644" w:firstLine="653"/>
        <w:spacing w:after="0" w:line="324" w:lineRule="auto"/>
        <w:tabs>
          <w:tab w:leader="none" w:pos="20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one or more incremental term loan commitments (any such incremental term loan commitment,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to make one or more additional term loans (any such additional term loan,</w:t>
      </w:r>
    </w:p>
    <w:p>
      <w:pPr>
        <w:spacing w:after="0" w:line="17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4"/>
          </w:cols>
          <w:pgMar w:left="356" w:top="611" w:right="239" w:bottom="1440" w:gutter="0" w:footer="0" w:header="0"/>
        </w:sectPr>
      </w:pPr>
    </w:p>
    <w:bookmarkStart w:id="123" w:name="page124"/>
    <w:bookmarkEnd w:id="123"/>
    <w:p>
      <w:pPr>
        <w:ind w:left="644"/>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or</w:t>
      </w:r>
    </w:p>
    <w:p>
      <w:pPr>
        <w:spacing w:after="0" w:line="266" w:lineRule="exact"/>
        <w:rPr>
          <w:sz w:val="20"/>
          <w:szCs w:val="20"/>
          <w:color w:val="auto"/>
        </w:rPr>
      </w:pPr>
    </w:p>
    <w:p>
      <w:pPr>
        <w:jc w:val="both"/>
        <w:ind w:left="624" w:firstLine="646"/>
        <w:spacing w:after="0" w:line="306" w:lineRule="auto"/>
        <w:tabs>
          <w:tab w:leader="none" w:pos="20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one or more increases in the Revolving Credit Commitments (any such increase, an “</w:t>
      </w:r>
      <w:r>
        <w:rPr>
          <w:rFonts w:ascii="Arial" w:cs="Arial" w:eastAsia="Arial" w:hAnsi="Arial"/>
          <w:sz w:val="18"/>
          <w:szCs w:val="18"/>
          <w:u w:val="single" w:color="auto"/>
          <w:color w:val="auto"/>
        </w:rPr>
        <w:t>Incremental Revolving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and, together with the Incremental Term Loan Commitments, the “</w:t>
      </w:r>
      <w:r>
        <w:rPr>
          <w:rFonts w:ascii="Arial" w:cs="Arial" w:eastAsia="Arial" w:hAnsi="Arial"/>
          <w:sz w:val="18"/>
          <w:szCs w:val="18"/>
          <w:u w:val="single" w:color="auto"/>
          <w:color w:val="auto"/>
        </w:rPr>
        <w:t>Incremental Loan Commitments”</w:t>
      </w:r>
      <w:r>
        <w:rPr>
          <w:rFonts w:ascii="Arial" w:cs="Arial" w:eastAsia="Arial" w:hAnsi="Arial"/>
          <w:sz w:val="18"/>
          <w:szCs w:val="18"/>
          <w:color w:val="auto"/>
        </w:rPr>
        <w:t>) to make revolving credit loans under the Revolving Credit Facility (any such increase, an “</w:t>
      </w:r>
      <w:r>
        <w:rPr>
          <w:rFonts w:ascii="Arial" w:cs="Arial" w:eastAsia="Arial" w:hAnsi="Arial"/>
          <w:sz w:val="18"/>
          <w:szCs w:val="18"/>
          <w:u w:val="single" w:color="auto"/>
          <w:color w:val="auto"/>
        </w:rPr>
        <w:t>Incremental Revolving Credit Increase”</w:t>
      </w:r>
      <w:r>
        <w:rPr>
          <w:rFonts w:ascii="Arial" w:cs="Arial" w:eastAsia="Arial" w:hAnsi="Arial"/>
          <w:sz w:val="18"/>
          <w:szCs w:val="18"/>
          <w:color w:val="auto"/>
        </w:rPr>
        <w:t xml:space="preserve"> and, together with the Incremental Term Loans, the “</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w:t>
      </w:r>
    </w:p>
    <w:p>
      <w:pPr>
        <w:spacing w:after="0" w:line="214" w:lineRule="exact"/>
        <w:rPr>
          <w:sz w:val="20"/>
          <w:szCs w:val="20"/>
          <w:color w:val="auto"/>
        </w:rPr>
      </w:pPr>
    </w:p>
    <w:p>
      <w:pPr>
        <w:ind w:left="4"/>
        <w:spacing w:after="0" w:line="28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after giving effect to any such Incremental Loans, the aggregate Revolving Commitments plus the aggregate principal amount of all Initial Term Loans and Incremental Term Loans outstanding as of such date shall not (as of any date of incurrence thereof) exceed $250,000,000 and</w:t>
      </w:r>
    </w:p>
    <w:p>
      <w:pPr>
        <w:spacing w:after="0" w:line="1" w:lineRule="exact"/>
        <w:rPr>
          <w:sz w:val="20"/>
          <w:szCs w:val="20"/>
          <w:color w:val="auto"/>
        </w:rPr>
      </w:pPr>
    </w:p>
    <w:p>
      <w:pPr>
        <w:jc w:val="both"/>
        <w:ind w:left="4" w:hanging="4"/>
        <w:spacing w:after="0" w:line="321" w:lineRule="auto"/>
        <w:tabs>
          <w:tab w:leader="none" w:pos="75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total aggregate amount for each Incremental Loan Commitment (and the Incremental Loans made thereunder) shall not be less than a minimum principal amount of $10,000,000 or, if less, the remaining amount permitted pursuant to the foregoing clause (1). Each such notice shall specify the date (each, an “</w:t>
      </w:r>
      <w:r>
        <w:rPr>
          <w:rFonts w:ascii="Arial" w:cs="Arial" w:eastAsia="Arial" w:hAnsi="Arial"/>
          <w:sz w:val="17"/>
          <w:szCs w:val="17"/>
          <w:u w:val="single" w:color="auto"/>
          <w:color w:val="auto"/>
        </w:rPr>
        <w:t>Increased Amount Date”</w:t>
      </w:r>
      <w:r>
        <w:rPr>
          <w:rFonts w:ascii="Arial" w:cs="Arial" w:eastAsia="Arial" w:hAnsi="Arial"/>
          <w:sz w:val="17"/>
          <w:szCs w:val="17"/>
          <w:color w:val="auto"/>
        </w:rPr>
        <w:t>) on which the Borrower proposes that any Incremental Loan Commitment shall be effective, which shall be a date not less than ten (10) Business Days after the date on which such notice is delivered to Administrative Agent. The Borrower may invite any Lender, any Affiliate of any Lender and/or any Approved Fund, and/or any other Person reasonably satisfactory to the Administrative Agent, to provide an Incremental Loan Commitment (any such Person, an “</w:t>
      </w:r>
      <w:r>
        <w:rPr>
          <w:rFonts w:ascii="Arial" w:cs="Arial" w:eastAsia="Arial" w:hAnsi="Arial"/>
          <w:sz w:val="17"/>
          <w:szCs w:val="17"/>
          <w:u w:val="single" w:color="auto"/>
          <w:color w:val="auto"/>
        </w:rPr>
        <w:t>Incremental Lender”</w:t>
      </w:r>
      <w:r>
        <w:rPr>
          <w:rFonts w:ascii="Arial" w:cs="Arial" w:eastAsia="Arial" w:hAnsi="Arial"/>
          <w:sz w:val="17"/>
          <w:szCs w:val="17"/>
          <w:color w:val="auto"/>
        </w:rPr>
        <w:t xml:space="preserve">). Any proposed Incremental Lender offered or approached to provide all or a portion of any Incremental Loan Commitment may elect or decline, in its sole discretion, to provide such Incremental Loan Commitment. Any Incremental Loan Commitment shall become effective as of such Increased Amount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7" w:lineRule="exact"/>
        <w:rPr>
          <w:rFonts w:ascii="Arial" w:cs="Arial" w:eastAsia="Arial" w:hAnsi="Arial"/>
          <w:sz w:val="17"/>
          <w:szCs w:val="17"/>
          <w:color w:val="auto"/>
        </w:rPr>
      </w:pPr>
    </w:p>
    <w:p>
      <w:pPr>
        <w:jc w:val="both"/>
        <w:ind w:left="1304" w:firstLine="641"/>
        <w:spacing w:after="0" w:line="311" w:lineRule="auto"/>
        <w:tabs>
          <w:tab w:leader="none" w:pos="274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Increased Amount Date before or after giving effect to (1) any Incremental Loan Commitment, (2) the making of any Incremental Loans pursuant thereto and (3) any Permitted Acquisition consummated in connection therewith;</w:t>
      </w:r>
    </w:p>
    <w:p>
      <w:pPr>
        <w:spacing w:after="0" w:line="181" w:lineRule="exact"/>
        <w:rPr>
          <w:rFonts w:ascii="Arial" w:cs="Arial" w:eastAsia="Arial" w:hAnsi="Arial"/>
          <w:sz w:val="18"/>
          <w:szCs w:val="18"/>
          <w:color w:val="auto"/>
        </w:rPr>
      </w:pPr>
    </w:p>
    <w:p>
      <w:pPr>
        <w:jc w:val="both"/>
        <w:ind w:left="1304" w:firstLine="641"/>
        <w:spacing w:after="0" w:line="326" w:lineRule="auto"/>
        <w:tabs>
          <w:tab w:leader="none" w:pos="2732"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Lenders shall have received from the Borrower an Officer’s Compliance Certificate demonstrating, in form and substance reasonably satisfactory to the Administrative Agent, that the Borrower is in compliance with the financial covenants set forth in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based on the financial statements most recently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8.1(b),</w:t>
      </w:r>
      <w:r>
        <w:rPr>
          <w:rFonts w:ascii="Arial" w:cs="Arial" w:eastAsia="Arial" w:hAnsi="Arial"/>
          <w:sz w:val="16"/>
          <w:szCs w:val="16"/>
          <w:color w:val="auto"/>
        </w:rPr>
        <w:t xml:space="preserve"> as applicable, both before and after giving effect (on a Pro Forma Basis) to (x) any Incremental Loan Commitment,</w:t>
      </w:r>
    </w:p>
    <w:p>
      <w:pPr>
        <w:ind w:left="1564" w:hanging="267"/>
        <w:spacing w:after="0"/>
        <w:tabs>
          <w:tab w:leader="none" w:pos="156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making of any Incremental Loans pursuant thereto (with any Incremental Loan Commitment being deemed to be fully funded) and</w:t>
      </w:r>
    </w:p>
    <w:p>
      <w:pPr>
        <w:spacing w:after="0" w:line="45" w:lineRule="exact"/>
        <w:rPr>
          <w:rFonts w:ascii="Arial" w:cs="Arial" w:eastAsia="Arial" w:hAnsi="Arial"/>
          <w:sz w:val="16"/>
          <w:szCs w:val="16"/>
          <w:color w:val="auto"/>
        </w:rPr>
      </w:pPr>
    </w:p>
    <w:p>
      <w:pPr>
        <w:ind w:left="1544" w:hanging="247"/>
        <w:spacing w:after="0"/>
        <w:tabs>
          <w:tab w:leader="none" w:pos="154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Permitted Acquisition consummated in connection therewith;</w:t>
      </w:r>
    </w:p>
    <w:p>
      <w:pPr>
        <w:spacing w:after="0" w:line="237" w:lineRule="exact"/>
        <w:rPr>
          <w:rFonts w:ascii="Arial" w:cs="Arial" w:eastAsia="Arial" w:hAnsi="Arial"/>
          <w:sz w:val="18"/>
          <w:szCs w:val="18"/>
          <w:color w:val="auto"/>
        </w:rPr>
      </w:pPr>
    </w:p>
    <w:p>
      <w:pPr>
        <w:jc w:val="both"/>
        <w:ind w:left="1304" w:firstLine="641"/>
        <w:spacing w:after="0" w:line="311" w:lineRule="auto"/>
        <w:tabs>
          <w:tab w:leader="none" w:pos="2732" w:val="left"/>
        </w:tabs>
        <w:numPr>
          <w:ilvl w:val="2"/>
          <w:numId w:val="120"/>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Article VII shall be true and correct in all material respects, except to the extent any such representation and warranty is qualified by materiality or reference to Material Adverse Effect, in which case, such representation and warranty shall be true and correct in all respects, on such</w:t>
      </w:r>
    </w:p>
    <w:p>
      <w:pPr>
        <w:spacing w:after="0" w:line="222" w:lineRule="exact"/>
        <w:rPr>
          <w:sz w:val="20"/>
          <w:szCs w:val="20"/>
          <w:color w:val="auto"/>
        </w:rPr>
      </w:pPr>
    </w:p>
    <w:p>
      <w:pPr>
        <w:ind w:left="924"/>
        <w:spacing w:after="0" w:line="308" w:lineRule="auto"/>
        <w:rPr>
          <w:sz w:val="20"/>
          <w:szCs w:val="20"/>
          <w:color w:val="auto"/>
        </w:rPr>
      </w:pPr>
      <w:r>
        <w:rPr>
          <w:rFonts w:ascii="Arial" w:cs="Arial" w:eastAsia="Arial" w:hAnsi="Arial"/>
          <w:sz w:val="17"/>
          <w:szCs w:val="17"/>
          <w:color w:val="auto"/>
        </w:rPr>
        <w:t>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87" w:lineRule="exact"/>
        <w:rPr>
          <w:sz w:val="20"/>
          <w:szCs w:val="20"/>
          <w:color w:val="auto"/>
        </w:rPr>
      </w:pPr>
    </w:p>
    <w:p>
      <w:pPr>
        <w:ind w:left="924" w:firstLine="643"/>
        <w:spacing w:after="0" w:line="324" w:lineRule="auto"/>
        <w:tabs>
          <w:tab w:leader="none" w:pos="209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proceeds of any Incremental Loans shall be used for general corporate purposes of the Borrower and its Subsidiaries (including Permitted Acquisitions);</w:t>
      </w:r>
    </w:p>
    <w:p>
      <w:pPr>
        <w:spacing w:after="0" w:line="183" w:lineRule="exact"/>
        <w:rPr>
          <w:rFonts w:ascii="Arial" w:cs="Arial" w:eastAsia="Arial" w:hAnsi="Arial"/>
          <w:sz w:val="18"/>
          <w:szCs w:val="18"/>
          <w:color w:val="auto"/>
        </w:rPr>
      </w:pPr>
    </w:p>
    <w:p>
      <w:pPr>
        <w:ind w:left="924" w:firstLine="656"/>
        <w:spacing w:after="0" w:line="324" w:lineRule="auto"/>
        <w:tabs>
          <w:tab w:leader="none" w:pos="204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Incremental Loan Commitment (and the Incremental Loans made thereunder) shall constitute Obligations of the Borrower and shall be secured and guaranteed with the other Extensions of Credit on a pari passu basis;</w:t>
      </w:r>
    </w:p>
    <w:p>
      <w:pPr>
        <w:spacing w:after="0" w:line="183" w:lineRule="exact"/>
        <w:rPr>
          <w:rFonts w:ascii="Arial" w:cs="Arial" w:eastAsia="Arial" w:hAnsi="Arial"/>
          <w:sz w:val="18"/>
          <w:szCs w:val="18"/>
          <w:color w:val="auto"/>
        </w:rPr>
      </w:pPr>
    </w:p>
    <w:p>
      <w:pPr>
        <w:ind w:left="2044" w:hanging="464"/>
        <w:spacing w:after="0"/>
        <w:tabs>
          <w:tab w:leader="none" w:pos="204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(1) in the case of each Incremental Term Loan (the terms of which shall be set forth in the relevant Lender Joinder Agreement):</w:t>
      </w:r>
    </w:p>
    <w:p>
      <w:pPr>
        <w:spacing w:after="0" w:line="302" w:lineRule="exact"/>
        <w:rPr>
          <w:rFonts w:ascii="Arial" w:cs="Arial" w:eastAsia="Arial" w:hAnsi="Arial"/>
          <w:sz w:val="16"/>
          <w:szCs w:val="16"/>
          <w:color w:val="auto"/>
        </w:rPr>
      </w:pPr>
    </w:p>
    <w:p>
      <w:pPr>
        <w:jc w:val="both"/>
        <w:ind w:left="1584" w:firstLine="644"/>
        <w:spacing w:after="0" w:line="306" w:lineRule="auto"/>
        <w:tabs>
          <w:tab w:leader="none" w:pos="2675" w:val="left"/>
        </w:tabs>
        <w:numPr>
          <w:ilvl w:val="2"/>
          <w:numId w:val="122"/>
        </w:numPr>
        <w:rPr>
          <w:rFonts w:ascii="Arial" w:cs="Arial" w:eastAsia="Arial" w:hAnsi="Arial"/>
          <w:sz w:val="18"/>
          <w:szCs w:val="18"/>
          <w:color w:val="auto"/>
        </w:rPr>
      </w:pPr>
      <w:r>
        <w:rPr>
          <w:rFonts w:ascii="Arial" w:cs="Arial" w:eastAsia="Arial" w:hAnsi="Arial"/>
          <w:sz w:val="18"/>
          <w:szCs w:val="18"/>
          <w:color w:val="auto"/>
        </w:rPr>
        <w:t>such Incremental Term Loan will mature and amortize in a manner reasonably acceptable to the Administrative Agent, the Incremental Lenders making such Incremental Term Loan and the Borrower, but will not in any event have a shorter weighted average life to maturity than the remaining weighted average life to maturity of the Initial Term Loan or a maturity date earlier than the Term Loan Maturity Date;</w:t>
      </w:r>
    </w:p>
    <w:p>
      <w:pPr>
        <w:spacing w:after="0" w:line="200" w:lineRule="exact"/>
        <w:rPr>
          <w:sz w:val="20"/>
          <w:szCs w:val="20"/>
          <w:color w:val="auto"/>
        </w:rPr>
      </w:pPr>
    </w:p>
    <w:p>
      <w:pPr>
        <w:spacing w:after="0" w:line="20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4"/>
          </w:cols>
          <w:pgMar w:left="356" w:top="611" w:right="239" w:bottom="1440" w:gutter="0" w:footer="0" w:header="0"/>
        </w:sectPr>
      </w:pPr>
    </w:p>
    <w:bookmarkStart w:id="124" w:name="page125"/>
    <w:bookmarkEnd w:id="124"/>
    <w:p>
      <w:pPr>
        <w:jc w:val="both"/>
        <w:ind w:left="660" w:firstLine="644"/>
        <w:spacing w:after="0" w:line="318" w:lineRule="auto"/>
        <w:tabs>
          <w:tab w:leader="none" w:pos="1761"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the Applicable Margin and pricing grid, if applicable, for such Incremental Term Loan shall be determined by the Administrative Agent, the applicable Incremental Lenders and the Borrower on the applicable Increased Amount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total yield in respect of any Incremental Term Loan exceeds the total yield for the Initial Term Loan by more than 0.50%, then the Applicable Margin for the Initial Term Loan shall be increased so that the total yield in respect of such Initial Term Loan is equal to the total yield for the Incremental Term Loan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0.50%;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in determining the total yield(s) applicable to each Incremental Term Loan and the total yield(s) for the Initial Term Loan, (AA) original issue discount (“</w:t>
      </w:r>
      <w:r>
        <w:rPr>
          <w:rFonts w:ascii="Arial" w:cs="Arial" w:eastAsia="Arial" w:hAnsi="Arial"/>
          <w:sz w:val="17"/>
          <w:szCs w:val="17"/>
          <w:u w:val="single" w:color="auto"/>
          <w:color w:val="auto"/>
        </w:rPr>
        <w:t>OID”</w:t>
      </w:r>
      <w:r>
        <w:rPr>
          <w:rFonts w:ascii="Arial" w:cs="Arial" w:eastAsia="Arial" w:hAnsi="Arial"/>
          <w:sz w:val="17"/>
          <w:szCs w:val="17"/>
          <w:color w:val="auto"/>
        </w:rPr>
        <w:t>) or upfront fees (which shall be deemed to constitute like amounts of OID) payable by the Borrower to the Lenders under such Incremental Term Loan or the Initial Term Loan in the initial primary syndication thereof shall be included (with OID being equated to interest based on assumed four-year life to maturity) and (BB) customary arrangement or commitment fees payable to any Lead Arranger (or its affiliates) in connection with the Initial Term Loan or to one or more arrangers (or their affiliates) of any Incremental Term Loan shall be excluded (it being understood that the effects of any and all interest rate floors shall be included in determining total yield(s) under this provision); and</w:t>
      </w:r>
    </w:p>
    <w:p>
      <w:pPr>
        <w:spacing w:after="0" w:line="187" w:lineRule="exact"/>
        <w:rPr>
          <w:rFonts w:ascii="Arial" w:cs="Arial" w:eastAsia="Arial" w:hAnsi="Arial"/>
          <w:sz w:val="17"/>
          <w:szCs w:val="17"/>
          <w:color w:val="auto"/>
        </w:rPr>
      </w:pPr>
    </w:p>
    <w:p>
      <w:pPr>
        <w:jc w:val="both"/>
        <w:ind w:left="660" w:right="20" w:firstLine="644"/>
        <w:spacing w:after="0" w:line="311" w:lineRule="auto"/>
        <w:tabs>
          <w:tab w:leader="none" w:pos="175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except as provided above, all other terms and conditions applicable to any Incremental Term Loan, to the extent not consistent with the terms and conditions applicable to the Initial Term Loan, shall be reasonably satisfactory to the Administrative Agent and the Borrower;</w:t>
      </w:r>
    </w:p>
    <w:p>
      <w:pPr>
        <w:spacing w:after="0" w:line="154" w:lineRule="exact"/>
        <w:rPr>
          <w:rFonts w:ascii="Arial" w:cs="Arial" w:eastAsia="Arial" w:hAnsi="Arial"/>
          <w:sz w:val="18"/>
          <w:szCs w:val="18"/>
          <w:color w:val="auto"/>
        </w:rPr>
      </w:pPr>
    </w:p>
    <w:p>
      <w:pPr>
        <w:ind w:left="920" w:hanging="264"/>
        <w:spacing w:after="0"/>
        <w:tabs>
          <w:tab w:leader="none" w:pos="9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the case of each Incremental Revolving Credit Increase (the terms of which shall be set forth in the relevant Lender Joinder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 w:lineRule="exact"/>
        <w:rPr>
          <w:rFonts w:ascii="Arial" w:cs="Arial" w:eastAsia="Arial" w:hAnsi="Arial"/>
          <w:sz w:val="17"/>
          <w:szCs w:val="17"/>
          <w:color w:val="auto"/>
        </w:rPr>
      </w:pPr>
    </w:p>
    <w:p>
      <w:pPr>
        <w:jc w:val="both"/>
        <w:ind w:left="660" w:firstLine="644"/>
        <w:spacing w:after="0" w:line="320" w:lineRule="auto"/>
        <w:tabs>
          <w:tab w:leader="none" w:pos="175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such Incremental Revolving Credit Increase shall mature on the Revolving Credit Maturity Date, shall bear interest and be entitled to fees, in each case at a rate determined by the Administrative Agent, the applicable Incremental Lenders and the Borrower, and shall be subject to the same terms and conditions as the Revolving Credit Loans; interest rate margins and/or unused fees with respect to any Incremental Revolving Credit Increase may be higher than the interest rate margins and/or unused fees applicable to the then existing Revolving Credit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interest rate margins and/or unused fees, as applicable, in respect of any Incremental Revolving Credit Increase exceed the interest rate margins and/or unused fees, as applicable, for the Initial Revolving Credit Facility, then the interest rate margins and/or unused fees, as applicable, for the Initial Revolving Credit Facility shall be increased so that the interest rate margins and/or unused fees, as applicable, are equal to the interest rate margins and/or unused fees for such Incremental Revolving Credit Increase;</w:t>
      </w:r>
    </w:p>
    <w:p>
      <w:pPr>
        <w:spacing w:after="0" w:line="179" w:lineRule="exact"/>
        <w:rPr>
          <w:rFonts w:ascii="Arial" w:cs="Arial" w:eastAsia="Arial" w:hAnsi="Arial"/>
          <w:sz w:val="17"/>
          <w:szCs w:val="17"/>
          <w:color w:val="auto"/>
        </w:rPr>
      </w:pPr>
    </w:p>
    <w:p>
      <w:pPr>
        <w:jc w:val="both"/>
        <w:ind w:left="660" w:firstLine="644"/>
        <w:spacing w:after="0" w:line="302" w:lineRule="auto"/>
        <w:tabs>
          <w:tab w:leader="none" w:pos="176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the outstanding Revolving Credit Loans and Revolving Credit Commitment Percentages of Swingline Loans and L/C Obligations will be reallocated by the Administrative Agent on the applicable Increased Amount Date among the Revolving Credit Lenders (including the Incremental Lenders providing such Incremental Revolving Credit Increase) in accordance with their revised Revolving Credit Commitment Percentages (and the Revolving Credit Lenders (including the Incremental Lenders providing such Incremental Revolving Credit Increase) agree to make all payments and adjustments necessary to effect such reallocation and the Borrower shall pay any and all costs required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in connection with such reallocation as if such reallocation were a repayment); and</w:t>
      </w:r>
    </w:p>
    <w:p>
      <w:pPr>
        <w:spacing w:after="0" w:line="189" w:lineRule="exact"/>
        <w:rPr>
          <w:rFonts w:ascii="Arial" w:cs="Arial" w:eastAsia="Arial" w:hAnsi="Arial"/>
          <w:sz w:val="18"/>
          <w:szCs w:val="18"/>
          <w:color w:val="auto"/>
        </w:rPr>
      </w:pPr>
    </w:p>
    <w:p>
      <w:pPr>
        <w:jc w:val="both"/>
        <w:ind w:left="660" w:right="20" w:firstLine="644"/>
        <w:spacing w:after="0" w:line="311" w:lineRule="auto"/>
        <w:tabs>
          <w:tab w:leader="none" w:pos="175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except as provided above, all of the other terms and conditions applicable to such Incremental Revolving Credit Increase shall, except to the extent otherwise provided in this </w:t>
      </w:r>
      <w:r>
        <w:rPr>
          <w:rFonts w:ascii="Arial" w:cs="Arial" w:eastAsia="Arial" w:hAnsi="Arial"/>
          <w:sz w:val="18"/>
          <w:szCs w:val="18"/>
          <w:u w:val="single" w:color="auto"/>
          <w:color w:val="auto"/>
        </w:rPr>
        <w:t>Section 5.13</w:t>
      </w:r>
      <w:r>
        <w:rPr>
          <w:rFonts w:ascii="Arial" w:cs="Arial" w:eastAsia="Arial" w:hAnsi="Arial"/>
          <w:sz w:val="18"/>
          <w:szCs w:val="18"/>
          <w:color w:val="auto"/>
        </w:rPr>
        <w:t>, be identical to the terms and conditions applicable to the Revolving Credit Facility;</w:t>
      </w:r>
    </w:p>
    <w:p>
      <w:pPr>
        <w:spacing w:after="0" w:line="181" w:lineRule="exact"/>
        <w:rPr>
          <w:sz w:val="20"/>
          <w:szCs w:val="20"/>
          <w:color w:val="auto"/>
        </w:rPr>
      </w:pPr>
    </w:p>
    <w:p>
      <w:pPr>
        <w:jc w:val="both"/>
        <w:ind w:right="20" w:firstLine="656"/>
        <w:spacing w:after="0" w:line="306" w:lineRule="auto"/>
        <w:tabs>
          <w:tab w:leader="none" w:pos="115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(1) any Incremental Lender making any Incremental Term Loan shall be entitled to the same voting rights as the existing Term Loan Lenders under the Term Loan Facility and each Incremental Term Loan shall receive proceeds of prepayments on the same basis as the Initial Term Loan (such prepayments to be shared pro rata on the basis of the original aggregate funded amount thereof among the Initial Term Loan and the Incremental Term Loans); and</w:t>
      </w:r>
    </w:p>
    <w:p>
      <w:pPr>
        <w:spacing w:after="0" w:line="159" w:lineRule="exact"/>
        <w:rPr>
          <w:rFonts w:ascii="Arial" w:cs="Arial" w:eastAsia="Arial" w:hAnsi="Arial"/>
          <w:sz w:val="18"/>
          <w:szCs w:val="18"/>
          <w:color w:val="auto"/>
        </w:rPr>
      </w:pPr>
    </w:p>
    <w:p>
      <w:pPr>
        <w:jc w:val="both"/>
        <w:ind w:firstLine="643"/>
        <w:spacing w:after="0" w:line="312" w:lineRule="auto"/>
        <w:tabs>
          <w:tab w:leader="none" w:pos="91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Incremental Lender with an Incremental Revolving Credit Increase shall be entitled to the same voting rights as the existing Revolving Credit Lenders under the Revolving Credit Facility and any Extensions of Credit made in connection with each Incremental Revolving Credit Increase shall receive proceeds of prepayments on the same basis as the other Revolving Credit Loans made hereunder;</w:t>
      </w:r>
    </w:p>
    <w:p>
      <w:pPr>
        <w:spacing w:after="0" w:line="174" w:lineRule="exact"/>
        <w:rPr>
          <w:sz w:val="20"/>
          <w:szCs w:val="20"/>
          <w:color w:val="auto"/>
        </w:rPr>
      </w:pPr>
    </w:p>
    <w:p>
      <w:pPr>
        <w:ind w:right="20" w:firstLine="643"/>
        <w:spacing w:after="0" w:line="324" w:lineRule="auto"/>
        <w:tabs>
          <w:tab w:leader="none" w:pos="116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Incremental Loan Commitments shall be effected pursuant to one or more Lender Joinder Agreements executed and delivered by the Borrower, the Administrative Agent and the applicable Incremental</w:t>
      </w:r>
    </w:p>
    <w:p>
      <w:pPr>
        <w:sectPr>
          <w:pgSz w:w="11900" w:h="16838" w:orient="portrait"/>
          <w:cols w:equalWidth="0" w:num="1">
            <w:col w:w="10380"/>
          </w:cols>
          <w:pgMar w:left="1280" w:top="611" w:right="239" w:bottom="1440" w:gutter="0" w:footer="0" w:header="0"/>
        </w:sectPr>
      </w:pP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380"/>
          </w:cols>
          <w:pgMar w:left="1280" w:top="611" w:right="239" w:bottom="1440" w:gutter="0" w:footer="0" w:header="0"/>
          <w:type w:val="continuous"/>
        </w:sectPr>
      </w:pPr>
    </w:p>
    <w:bookmarkStart w:id="125" w:name="page126"/>
    <w:bookmarkEnd w:id="125"/>
    <w:p>
      <w:pPr>
        <w:ind w:left="924"/>
        <w:spacing w:after="0"/>
        <w:rPr>
          <w:sz w:val="20"/>
          <w:szCs w:val="20"/>
          <w:color w:val="auto"/>
        </w:rPr>
      </w:pPr>
      <w:r>
        <w:rPr>
          <w:rFonts w:ascii="Arial" w:cs="Arial" w:eastAsia="Arial" w:hAnsi="Arial"/>
          <w:sz w:val="18"/>
          <w:szCs w:val="18"/>
          <w:color w:val="auto"/>
        </w:rPr>
        <w:t>Lenders (which Lender Joinder Agreement may, without the consent of any other Lenders, effect such amendments to</w:t>
      </w:r>
    </w:p>
    <w:p>
      <w:pPr>
        <w:spacing w:after="0" w:line="90" w:lineRule="exact"/>
        <w:rPr>
          <w:sz w:val="20"/>
          <w:szCs w:val="20"/>
          <w:color w:val="auto"/>
        </w:rPr>
      </w:pPr>
    </w:p>
    <w:p>
      <w:pPr>
        <w:ind w:left="1304" w:right="220"/>
        <w:spacing w:after="0" w:line="277" w:lineRule="auto"/>
        <w:rPr>
          <w:sz w:val="20"/>
          <w:szCs w:val="20"/>
          <w:color w:val="auto"/>
        </w:rPr>
      </w:pPr>
      <w:r>
        <w:rPr>
          <w:rFonts w:ascii="Arial" w:cs="Arial" w:eastAsia="Arial" w:hAnsi="Arial"/>
          <w:sz w:val="18"/>
          <w:szCs w:val="18"/>
          <w:color w:val="auto"/>
        </w:rPr>
        <w:t xml:space="preserve">this Agreement and the other Loan Documents as may be necessary or appropriate, in the opinion of the Administrative Agent, to effect the provisions of this </w:t>
      </w:r>
      <w:r>
        <w:rPr>
          <w:rFonts w:ascii="Arial" w:cs="Arial" w:eastAsia="Arial" w:hAnsi="Arial"/>
          <w:sz w:val="18"/>
          <w:szCs w:val="18"/>
          <w:u w:val="single" w:color="auto"/>
          <w:color w:val="auto"/>
        </w:rPr>
        <w:t>Section 5.13</w:t>
      </w:r>
      <w:r>
        <w:rPr>
          <w:rFonts w:ascii="Arial" w:cs="Arial" w:eastAsia="Arial" w:hAnsi="Arial"/>
          <w:sz w:val="18"/>
          <w:szCs w:val="18"/>
          <w:color w:val="auto"/>
        </w:rPr>
        <w:t>); and</w:t>
      </w:r>
    </w:p>
    <w:p>
      <w:pPr>
        <w:spacing w:after="0" w:line="197" w:lineRule="exact"/>
        <w:rPr>
          <w:sz w:val="20"/>
          <w:szCs w:val="20"/>
          <w:color w:val="auto"/>
        </w:rPr>
      </w:pPr>
    </w:p>
    <w:p>
      <w:pPr>
        <w:jc w:val="both"/>
        <w:ind w:left="1304" w:firstLine="641"/>
        <w:spacing w:after="0" w:line="306" w:lineRule="auto"/>
        <w:tabs>
          <w:tab w:leader="none" w:pos="2672" w:val="left"/>
        </w:tabs>
        <w:numPr>
          <w:ilvl w:val="3"/>
          <w:numId w:val="128"/>
        </w:numPr>
        <w:rPr>
          <w:rFonts w:ascii="Arial" w:cs="Arial" w:eastAsia="Arial" w:hAnsi="Arial"/>
          <w:sz w:val="18"/>
          <w:szCs w:val="18"/>
          <w:color w:val="auto"/>
        </w:rPr>
      </w:pPr>
      <w:r>
        <w:rPr>
          <w:rFonts w:ascii="Arial" w:cs="Arial" w:eastAsia="Arial" w:hAnsi="Arial"/>
          <w:sz w:val="18"/>
          <w:szCs w:val="18"/>
          <w:color w:val="auto"/>
        </w:rPr>
        <w:t>the Borrower shall deliver or cause to be delivered any customary legal opinions or other documents (including, without limitation, a resolution duly adopted by the board of directors (or equivalent governing body) of each Credit Party authorizing such Incremental Loan and/or Incremental Term Loan Commitment) reasonably requested by Administrative Agent in connection with any such transaction.</w:t>
      </w:r>
    </w:p>
    <w:p>
      <w:pPr>
        <w:spacing w:after="0" w:line="186" w:lineRule="exact"/>
        <w:rPr>
          <w:rFonts w:ascii="Arial" w:cs="Arial" w:eastAsia="Arial" w:hAnsi="Arial"/>
          <w:sz w:val="18"/>
          <w:szCs w:val="18"/>
          <w:color w:val="auto"/>
        </w:rPr>
      </w:pPr>
    </w:p>
    <w:p>
      <w:pPr>
        <w:ind w:left="644" w:firstLine="4"/>
        <w:spacing w:after="0" w:line="324" w:lineRule="auto"/>
        <w:tabs>
          <w:tab w:leader="none" w:pos="139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 The Incremental Term Loans shall be deemed to be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Incremental Term Loan shall be designated as a separate tranche of Term Loans for all purposes of this Agreement.</w:t>
      </w:r>
    </w:p>
    <w:p>
      <w:pPr>
        <w:spacing w:after="0" w:line="143" w:lineRule="exact"/>
        <w:rPr>
          <w:rFonts w:ascii="Arial" w:cs="Arial" w:eastAsia="Arial" w:hAnsi="Arial"/>
          <w:sz w:val="18"/>
          <w:szCs w:val="18"/>
          <w:color w:val="auto"/>
        </w:rPr>
      </w:pPr>
    </w:p>
    <w:p>
      <w:pPr>
        <w:ind w:left="624" w:firstLine="646"/>
        <w:spacing w:after="0" w:line="277" w:lineRule="auto"/>
        <w:tabs>
          <w:tab w:leader="none" w:pos="1539"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Incremental Lenders shall be included in any determination of the Required Lenders and, unless otherwise agreed, the Incremental Lenders will not constitute a separate voting class for any purposes under this Agreement.</w:t>
      </w:r>
    </w:p>
    <w:p>
      <w:pPr>
        <w:spacing w:after="0" w:line="197" w:lineRule="exact"/>
        <w:rPr>
          <w:rFonts w:ascii="Arial" w:cs="Arial" w:eastAsia="Arial" w:hAnsi="Arial"/>
          <w:sz w:val="18"/>
          <w:szCs w:val="18"/>
          <w:color w:val="auto"/>
        </w:rPr>
      </w:pPr>
    </w:p>
    <w:p>
      <w:pPr>
        <w:jc w:val="both"/>
        <w:ind w:left="624" w:hanging="3"/>
        <w:spacing w:after="0" w:line="329" w:lineRule="auto"/>
        <w:tabs>
          <w:tab w:leader="none" w:pos="137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 On any Increased Amount Date on which any Incremental Term Loan Commitment becomes effective, subject to the foregoing terms and conditions, each Incremental Lender with an Incremental Term Loan Commitment shall make, or be obligated to make, an Incremental Term Loan to the Borrower in an amount equal to its Incremental Term Loan Commitment and shall become a Term Loan Lender hereunder with respect to such Incremental Term Loan Commitment and the Incremental Term Loan made pursuant thereto.</w:t>
      </w:r>
    </w:p>
    <w:p>
      <w:pPr>
        <w:spacing w:after="0" w:line="143" w:lineRule="exact"/>
        <w:rPr>
          <w:rFonts w:ascii="Arial" w:cs="Arial" w:eastAsia="Arial" w:hAnsi="Arial"/>
          <w:sz w:val="17"/>
          <w:szCs w:val="17"/>
          <w:color w:val="auto"/>
        </w:rPr>
      </w:pPr>
    </w:p>
    <w:p>
      <w:pPr>
        <w:jc w:val="both"/>
        <w:ind w:left="624" w:right="20" w:firstLine="646"/>
        <w:spacing w:after="0" w:line="264" w:lineRule="auto"/>
        <w:tabs>
          <w:tab w:leader="none" w:pos="1539" w:val="left"/>
        </w:tabs>
        <w:numPr>
          <w:ilvl w:val="2"/>
          <w:numId w:val="130"/>
        </w:numPr>
        <w:rPr>
          <w:rFonts w:ascii="Arial" w:cs="Arial" w:eastAsia="Arial" w:hAnsi="Arial"/>
          <w:sz w:val="18"/>
          <w:szCs w:val="18"/>
          <w:color w:val="auto"/>
        </w:rPr>
      </w:pPr>
      <w:r>
        <w:rPr>
          <w:rFonts w:ascii="Arial" w:cs="Arial" w:eastAsia="Arial" w:hAnsi="Arial"/>
          <w:sz w:val="18"/>
          <w:szCs w:val="18"/>
          <w:color w:val="auto"/>
        </w:rPr>
        <w:t>On any Increased Amount Date on which any Incremental Revolving Credit Increase becomes effective, subject to the foregoing terms and conditions, each Incremental Lender with an Incremental Revolving Credit Commitment shall become a Revolving Credit Lender hereunder with respect to such Incremental Revolving Credit Commitment.</w:t>
      </w:r>
    </w:p>
    <w:p>
      <w:pPr>
        <w:spacing w:after="0" w:line="181" w:lineRule="exact"/>
        <w:rPr>
          <w:sz w:val="20"/>
          <w:szCs w:val="20"/>
          <w:color w:val="auto"/>
        </w:rPr>
      </w:pPr>
    </w:p>
    <w:p>
      <w:pPr>
        <w:jc w:val="both"/>
        <w:ind w:left="4" w:firstLine="621"/>
        <w:spacing w:after="0" w:line="25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within one Business Day following the written request of the Administrative Agent, any Issuing Lender (with a copy to the Administrative Agent) or the Swingline Lender (with a copy to the Administrative Agent), the Borrower shall Cash Collateralize the Fronting Exposure of such Issuing Lender and/or the Swingline Lender, as applicable, with respect to such Defaulting Lender (determined after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215" w:lineRule="exact"/>
        <w:rPr>
          <w:sz w:val="20"/>
          <w:szCs w:val="20"/>
          <w:color w:val="auto"/>
        </w:rPr>
      </w:pPr>
    </w:p>
    <w:p>
      <w:pPr>
        <w:jc w:val="both"/>
        <w:ind w:left="4" w:firstLine="644"/>
        <w:spacing w:after="0" w:line="297" w:lineRule="auto"/>
        <w:tabs>
          <w:tab w:leader="none" w:pos="1392"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The Borrower, and to the extent provided by any Defaulting Lender, such Defaulting Lender, hereby grants to the Administrative Agent, for the benefit of each Issuing Lender and the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the Swingline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3" w:lineRule="exact"/>
        <w:rPr>
          <w:rFonts w:ascii="Arial" w:cs="Arial" w:eastAsia="Arial" w:hAnsi="Arial"/>
          <w:sz w:val="18"/>
          <w:szCs w:val="18"/>
          <w:color w:val="auto"/>
        </w:rPr>
      </w:pPr>
    </w:p>
    <w:p>
      <w:pPr>
        <w:jc w:val="both"/>
        <w:ind w:left="4" w:firstLine="644"/>
        <w:spacing w:after="0" w:line="354" w:lineRule="auto"/>
        <w:tabs>
          <w:tab w:leader="none" w:pos="1402"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70" w:lineRule="exact"/>
        <w:rPr>
          <w:rFonts w:ascii="Arial" w:cs="Arial" w:eastAsia="Arial" w:hAnsi="Arial"/>
          <w:sz w:val="16"/>
          <w:szCs w:val="16"/>
          <w:color w:val="auto"/>
        </w:rPr>
      </w:pPr>
    </w:p>
    <w:p>
      <w:pPr>
        <w:jc w:val="both"/>
        <w:ind w:left="4" w:firstLine="644"/>
        <w:spacing w:after="0" w:line="334" w:lineRule="auto"/>
        <w:tabs>
          <w:tab w:leader="none" w:pos="1392"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Termination of Requirement.</w:t>
      </w:r>
      <w:r>
        <w:rPr>
          <w:rFonts w:ascii="Arial" w:cs="Arial" w:eastAsia="Arial" w:hAnsi="Arial"/>
          <w:sz w:val="16"/>
          <w:szCs w:val="16"/>
          <w:color w:val="auto"/>
        </w:rPr>
        <w:t xml:space="preserve"> Cash Collateral (or the appropriate portion thereof) provided to reduce the Fronting Exposure of any Issuing Lender and/or the Swingline Lender, as applicable, shall no longer be required to be held as Cash Collateral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following</w:t>
      </w:r>
    </w:p>
    <w:p>
      <w:pPr>
        <w:spacing w:after="0" w:line="1" w:lineRule="exact"/>
        <w:rPr>
          <w:rFonts w:ascii="Arial" w:cs="Arial" w:eastAsia="Arial" w:hAnsi="Arial"/>
          <w:sz w:val="16"/>
          <w:szCs w:val="16"/>
          <w:color w:val="auto"/>
        </w:rPr>
      </w:pPr>
    </w:p>
    <w:p>
      <w:pPr>
        <w:jc w:val="both"/>
        <w:ind w:left="4" w:hanging="4"/>
        <w:spacing w:after="0" w:line="304" w:lineRule="auto"/>
        <w:tabs>
          <w:tab w:leader="none" w:pos="2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elimination of the applicable Fronting Exposure (including by the termination of Defaulting Lender status of the applicable Lender), or (ii) the determination by the Administrative Agent, the Issuing Lenders and the Swingline Lender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the Person providing Cash Collateral, the Issuing Lenders and the Swingline Lender may agree that Cash Collateral shall be held to support future anticipated Fronting Exposure or other obligations;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that such Cash Collateral was provided by the Borrower, such Cash Collateral shall remain subject to the security interest granted pursuant to</w:t>
      </w:r>
    </w:p>
    <w:p>
      <w:pPr>
        <w:spacing w:after="0" w:line="188"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4"/>
          </w:cols>
          <w:pgMar w:left="356" w:top="61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the Loan Documents.</w:t>
      </w:r>
    </w:p>
    <w:p>
      <w:pPr>
        <w:spacing w:after="0" w:line="23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Defaulting Lenders.</w:t>
      </w:r>
    </w:p>
    <w:p>
      <w:pPr>
        <w:spacing w:after="0" w:line="252" w:lineRule="exact"/>
        <w:rPr>
          <w:sz w:val="20"/>
          <w:szCs w:val="20"/>
          <w:color w:val="auto"/>
        </w:rPr>
      </w:pPr>
    </w:p>
    <w:p>
      <w:pPr>
        <w:ind w:firstLine="644"/>
        <w:spacing w:after="0" w:line="357" w:lineRule="auto"/>
        <w:tabs>
          <w:tab w:leader="none" w:pos="138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xml:space="preserve"> Notwithstanding anything to the contrary contained in this Agreement, if any Lender becomes a Defaulting Lender, then, until such time as such Lender is no longer a Defaulting Lender, to the extent permitted by Applicable Law:</w:t>
      </w:r>
    </w:p>
    <w:p>
      <w:pPr>
        <w:spacing w:after="0" w:line="147" w:lineRule="exact"/>
        <w:rPr>
          <w:rFonts w:ascii="Arial" w:cs="Arial" w:eastAsia="Arial" w:hAnsi="Arial"/>
          <w:sz w:val="17"/>
          <w:szCs w:val="17"/>
          <w:color w:val="auto"/>
        </w:rPr>
      </w:pPr>
    </w:p>
    <w:p>
      <w:pPr>
        <w:ind w:left="640" w:right="20" w:firstLine="653"/>
        <w:spacing w:after="0" w:line="324" w:lineRule="auto"/>
        <w:tabs>
          <w:tab w:leader="none" w:pos="1998"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12.2.</w:t>
      </w:r>
    </w:p>
    <w:p>
      <w:pPr>
        <w:spacing w:after="0" w:line="170" w:lineRule="exact"/>
        <w:rPr>
          <w:sz w:val="20"/>
          <w:szCs w:val="20"/>
          <w:color w:val="auto"/>
        </w:rPr>
      </w:pPr>
    </w:p>
    <w:p>
      <w:pPr>
        <w:jc w:val="both"/>
        <w:ind w:left="620" w:firstLine="646"/>
        <w:spacing w:after="0" w:line="318" w:lineRule="auto"/>
        <w:tabs>
          <w:tab w:leader="none" w:pos="2042"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to the payment on a</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basis of any amounts owing by such Defaulting Lender to the Issuing Lenders or the Swingline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Fronting Exposure of the Issuing Lenders and the Swingline Lender with respect to such Defaulting Lender in accordance with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Borrower, to be held in a deposit account and released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to the payment of any amounts owing to the Lenders, the Issuing Lenders or the Swingline Lender as a result of any judgment of a court of competent jurisdiction obtained by any Lender, the Issuing Lender or the Swingline Lender against such Defaulting Lender as a</w:t>
      </w:r>
    </w:p>
    <w:p>
      <w:pPr>
        <w:spacing w:after="0" w:line="223" w:lineRule="exact"/>
        <w:rPr>
          <w:sz w:val="20"/>
          <w:szCs w:val="20"/>
          <w:color w:val="auto"/>
        </w:rPr>
      </w:pPr>
    </w:p>
    <w:p>
      <w:pPr>
        <w:jc w:val="both"/>
        <w:ind w:left="280"/>
        <w:spacing w:after="0" w:line="268" w:lineRule="auto"/>
        <w:rPr>
          <w:sz w:val="20"/>
          <w:szCs w:val="20"/>
          <w:color w:val="auto"/>
        </w:rPr>
      </w:pPr>
      <w:r>
        <w:rPr>
          <w:rFonts w:ascii="Arial" w:cs="Arial" w:eastAsia="Arial" w:hAnsi="Arial"/>
          <w:sz w:val="17"/>
          <w:szCs w:val="17"/>
          <w:color w:val="auto"/>
        </w:rPr>
        <w:t xml:space="preserve">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Revolving Credit Commitments under the applicable Revolving Credit Facility without giving effect to </w:t>
      </w:r>
      <w:r>
        <w:rPr>
          <w:rFonts w:ascii="Arial" w:cs="Arial" w:eastAsia="Arial" w:hAnsi="Arial"/>
          <w:sz w:val="17"/>
          <w:szCs w:val="17"/>
          <w:u w:val="single" w:color="auto"/>
          <w:color w:val="auto"/>
        </w:rPr>
        <w:t>Section 5.15(a)(iv)</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5.15(a)(ii)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88" w:lineRule="exact"/>
        <w:rPr>
          <w:sz w:val="20"/>
          <w:szCs w:val="20"/>
          <w:color w:val="auto"/>
        </w:rPr>
      </w:pPr>
    </w:p>
    <w:p>
      <w:pPr>
        <w:ind w:left="1580" w:hanging="652"/>
        <w:spacing w:after="0"/>
        <w:tabs>
          <w:tab w:leader="none" w:pos="15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Certain Fees.</w:t>
      </w:r>
    </w:p>
    <w:p>
      <w:pPr>
        <w:spacing w:after="0" w:line="252" w:lineRule="exact"/>
        <w:rPr>
          <w:rFonts w:ascii="Arial" w:cs="Arial" w:eastAsia="Arial" w:hAnsi="Arial"/>
          <w:sz w:val="18"/>
          <w:szCs w:val="18"/>
          <w:color w:val="auto"/>
        </w:rPr>
      </w:pPr>
    </w:p>
    <w:p>
      <w:pPr>
        <w:jc w:val="both"/>
        <w:ind w:left="920" w:firstLine="643"/>
        <w:spacing w:after="0" w:line="311" w:lineRule="auto"/>
        <w:tabs>
          <w:tab w:leader="none" w:pos="20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jc w:val="both"/>
        <w:ind w:left="920" w:firstLine="643"/>
        <w:spacing w:after="0" w:line="311" w:lineRule="auto"/>
        <w:tabs>
          <w:tab w:leader="none" w:pos="207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commissions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8"/>
          <w:szCs w:val="18"/>
          <w:u w:val="single" w:color="auto"/>
          <w:color w:val="auto"/>
        </w:rPr>
        <w:t>Section 5.14.</w:t>
      </w: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360" w:top="611" w:right="239" w:bottom="1440" w:gutter="0" w:footer="0" w:header="0"/>
        </w:sectPr>
      </w:pPr>
    </w:p>
    <w:bookmarkStart w:id="127" w:name="page128"/>
    <w:bookmarkEnd w:id="127"/>
    <w:p>
      <w:pPr>
        <w:jc w:val="both"/>
        <w:ind w:left="920" w:firstLine="656"/>
        <w:spacing w:after="0" w:line="346" w:lineRule="auto"/>
        <w:tabs>
          <w:tab w:leader="none" w:pos="205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With respect to any Commitment Fee or letter of credit commission not required to be paid to any Defaulting Lender pursuant to clause (A) or (B)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64" w:lineRule="exact"/>
        <w:rPr>
          <w:rFonts w:ascii="Arial" w:cs="Arial" w:eastAsia="Arial" w:hAnsi="Arial"/>
          <w:sz w:val="16"/>
          <w:szCs w:val="16"/>
          <w:color w:val="auto"/>
        </w:rPr>
      </w:pPr>
    </w:p>
    <w:p>
      <w:pPr>
        <w:jc w:val="both"/>
        <w:ind w:left="280" w:firstLine="648"/>
        <w:spacing w:after="0" w:line="306" w:lineRule="auto"/>
        <w:tabs>
          <w:tab w:leader="none" w:pos="207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(x) the conditions set forth in</w:t>
      </w:r>
    </w:p>
    <w:p>
      <w:pPr>
        <w:spacing w:after="0" w:line="11"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20" w:lineRule="exact"/>
        <w:rPr>
          <w:sz w:val="20"/>
          <w:szCs w:val="20"/>
          <w:color w:val="auto"/>
        </w:rPr>
      </w:pPr>
    </w:p>
    <w:p>
      <w:pPr>
        <w:jc w:val="both"/>
        <w:ind w:left="640" w:firstLine="653"/>
        <w:spacing w:after="0" w:line="306" w:lineRule="auto"/>
        <w:tabs>
          <w:tab w:leader="none" w:pos="2038"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clause (iv) above cannot, or can only partially, be effected, the Borrower shall, without prejudice to any right or remedy available to it hereunder or under law,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repay Swingline Loans in an amount equal to the Swingline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Issuing Lenders’ Fronting Exposure in accordance with the procedures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44"/>
        <w:spacing w:after="0" w:line="319" w:lineRule="auto"/>
        <w:tabs>
          <w:tab w:leader="none" w:pos="1398"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Lenders in accordance with the Commitments under the applicable Credit Facility (without giving effect to </w:t>
      </w:r>
      <w:r>
        <w:rPr>
          <w:rFonts w:ascii="Arial" w:cs="Arial" w:eastAsia="Arial" w:hAnsi="Arial"/>
          <w:sz w:val="17"/>
          <w:szCs w:val="17"/>
          <w:u w:val="single" w:color="auto"/>
          <w:color w:val="auto"/>
        </w:rPr>
        <w:t>Section 5.15(a)(iv))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CONDITIONS OF CLOSING AND BORROWING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Conditions to Closing and Initial Extensions of Credit.</w:t>
      </w:r>
      <w:r>
        <w:rPr>
          <w:rFonts w:ascii="Arial" w:cs="Arial" w:eastAsia="Arial" w:hAnsi="Arial"/>
          <w:sz w:val="16"/>
          <w:szCs w:val="16"/>
          <w:color w:val="auto"/>
        </w:rPr>
        <w:t xml:space="preserve"> The obligation of the Lenders to close this Agreement and to make the initial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or issue or participate in the initial Letter of Credit, if any, is subject to the satisfaction of each of the following conditions:</w:t>
      </w:r>
    </w:p>
    <w:p>
      <w:pPr>
        <w:spacing w:after="0" w:line="238" w:lineRule="exact"/>
        <w:rPr>
          <w:sz w:val="20"/>
          <w:szCs w:val="20"/>
          <w:color w:val="auto"/>
        </w:rPr>
      </w:pPr>
    </w:p>
    <w:p>
      <w:pPr>
        <w:jc w:val="both"/>
        <w:ind w:firstLine="644"/>
        <w:spacing w:after="0" w:line="325" w:lineRule="auto"/>
        <w:tabs>
          <w:tab w:leader="none" w:pos="1388"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Executed Loan Documents.</w:t>
      </w:r>
      <w:r>
        <w:rPr>
          <w:rFonts w:ascii="Arial" w:cs="Arial" w:eastAsia="Arial" w:hAnsi="Arial"/>
          <w:sz w:val="17"/>
          <w:szCs w:val="17"/>
          <w:color w:val="auto"/>
        </w:rPr>
        <w:t xml:space="preserve"> This Agreement, a Revolving Credit Note in favor of each Revolving Credit Lender requesting a Revolving Credit Note, a Term Loan Note in favor of each Term Loan Lender requesting a Term Loan Note, a Swingline Note in favor of the Swingline Lender (in each case, if requested thereby), the Security Documents, the Guaranty Agreement and the Management Fee Subordination Agreement, together with any other applicable Loan Documents, shall have been duly authorized, executed and delivered to the Administrative Agent by the parties thereto, shall be in full force and effect and no Default or Event of Default shall exist hereunder or thereunder.</w:t>
      </w:r>
    </w:p>
    <w:p>
      <w:pPr>
        <w:spacing w:after="0" w:line="175" w:lineRule="exact"/>
        <w:rPr>
          <w:rFonts w:ascii="Arial" w:cs="Arial" w:eastAsia="Arial" w:hAnsi="Arial"/>
          <w:sz w:val="17"/>
          <w:szCs w:val="17"/>
          <w:color w:val="auto"/>
        </w:rPr>
      </w:pPr>
    </w:p>
    <w:p>
      <w:pPr>
        <w:ind w:firstLine="644"/>
        <w:spacing w:after="0" w:line="297" w:lineRule="auto"/>
        <w:tabs>
          <w:tab w:leader="none" w:pos="139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Closing Certificates; Etc.</w:t>
      </w:r>
      <w:r>
        <w:rPr>
          <w:rFonts w:ascii="Arial" w:cs="Arial" w:eastAsia="Arial" w:hAnsi="Arial"/>
          <w:sz w:val="18"/>
          <w:szCs w:val="18"/>
          <w:color w:val="auto"/>
        </w:rPr>
        <w:t xml:space="preserve"> The Administrative Agent shall have received each of the following in form and substance reasonably satisfactory to the Administrative Agent:</w:t>
      </w:r>
    </w:p>
    <w:p>
      <w:pPr>
        <w:ind w:left="1340" w:hanging="412"/>
        <w:spacing w:after="0"/>
        <w:tabs>
          <w:tab w:leader="none" w:pos="1340"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 certificate from a Responsible Officer of Holdings and the Borrower to the effect that</w:t>
      </w: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360" w:top="611" w:right="239" w:bottom="1440" w:gutter="0" w:footer="0" w:header="0"/>
        </w:sectPr>
      </w:pPr>
    </w:p>
    <w:bookmarkStart w:id="128" w:name="page129"/>
    <w:bookmarkEnd w:id="128"/>
    <w:p>
      <w:pPr>
        <w:jc w:val="both"/>
        <w:spacing w:after="0" w:line="309" w:lineRule="auto"/>
        <w:tabs>
          <w:tab w:leader="none" w:pos="32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all representations and warranties of the Credit Parties contained in this Agreement and the other Loan Documents are true and correct in all material respects (except to the extent any such representation and warranty is qualified by materiality or reference to Material Adverse Effect, in which case, such representation and warranty shall be true and correct in all respects); (B) none of the Credit Parties is in violation of any of the covenants contained in this Agreement and the other Loan Documents; (C) after giving effect to the Transactions, no Default or Event of Default has occurred and is continuing; (D) since December 29, 2013, no event has occurred or condition arisen, either individually or in the aggregate, that has had or could reasonably be expected to have a Material Adverse Effect; and</w:t>
      </w:r>
    </w:p>
    <w:p>
      <w:pPr>
        <w:spacing w:after="0" w:line="3" w:lineRule="exact"/>
        <w:rPr>
          <w:rFonts w:ascii="Arial" w:cs="Arial" w:eastAsia="Arial" w:hAnsi="Arial"/>
          <w:sz w:val="17"/>
          <w:szCs w:val="17"/>
          <w:color w:val="auto"/>
        </w:rPr>
      </w:pPr>
    </w:p>
    <w:p>
      <w:pPr>
        <w:ind w:left="280" w:hanging="280"/>
        <w:spacing w:after="0"/>
        <w:tabs>
          <w:tab w:leader="none" w:pos="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each of the Credit Parties, as applicable, has satisfied each of the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p>
    <w:p>
      <w:pPr>
        <w:spacing w:after="0" w:line="251" w:lineRule="exact"/>
        <w:rPr>
          <w:rFonts w:ascii="Arial" w:cs="Arial" w:eastAsia="Arial" w:hAnsi="Arial"/>
          <w:sz w:val="18"/>
          <w:szCs w:val="18"/>
          <w:color w:val="auto"/>
        </w:rPr>
      </w:pPr>
    </w:p>
    <w:p>
      <w:pPr>
        <w:jc w:val="both"/>
        <w:ind w:firstLine="648"/>
        <w:spacing w:after="0" w:line="321" w:lineRule="auto"/>
        <w:tabs>
          <w:tab w:leader="none" w:pos="1112"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Certificate of Secretary of each Credit Party</w:t>
      </w:r>
      <w:r>
        <w:rPr>
          <w:rFonts w:ascii="Arial" w:cs="Arial" w:eastAsia="Arial" w:hAnsi="Arial"/>
          <w:sz w:val="17"/>
          <w:szCs w:val="17"/>
          <w:color w:val="auto"/>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certified by the appropriate Governmental Authority in its jurisdiction of incorporation, organization or formation (or equivalent), as applicable, (B) the bylaws or other governing document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each certificate required to be delivered pursuant to </w:t>
      </w:r>
      <w:r>
        <w:rPr>
          <w:rFonts w:ascii="Arial" w:cs="Arial" w:eastAsia="Arial" w:hAnsi="Arial"/>
          <w:sz w:val="17"/>
          <w:szCs w:val="17"/>
          <w:u w:val="single" w:color="auto"/>
          <w:color w:val="auto"/>
        </w:rPr>
        <w:t>Section 6.1(b)(iii).</w:t>
      </w:r>
    </w:p>
    <w:p>
      <w:pPr>
        <w:spacing w:after="0" w:line="177" w:lineRule="exact"/>
        <w:rPr>
          <w:rFonts w:ascii="Arial" w:cs="Arial" w:eastAsia="Arial" w:hAnsi="Arial"/>
          <w:sz w:val="17"/>
          <w:szCs w:val="17"/>
          <w:color w:val="auto"/>
        </w:rPr>
      </w:pPr>
    </w:p>
    <w:p>
      <w:pPr>
        <w:ind w:firstLine="648"/>
        <w:spacing w:after="0" w:line="324" w:lineRule="auto"/>
        <w:tabs>
          <w:tab w:leader="none" w:pos="181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Certificates of Good Standing.</w:t>
      </w:r>
      <w:r>
        <w:rPr>
          <w:rFonts w:ascii="Arial" w:cs="Arial" w:eastAsia="Arial" w:hAnsi="Arial"/>
          <w:sz w:val="18"/>
          <w:szCs w:val="18"/>
          <w:color w:val="auto"/>
        </w:rPr>
        <w:t xml:space="preserve"> Certificates as of a recent date of the good standing of each Credit Party under the laws of its jurisdiction of incorporation, organization or formation (or equivalent), as applicable.</w:t>
      </w:r>
    </w:p>
    <w:p>
      <w:pPr>
        <w:spacing w:after="0" w:line="183" w:lineRule="exact"/>
        <w:rPr>
          <w:rFonts w:ascii="Arial" w:cs="Arial" w:eastAsia="Arial" w:hAnsi="Arial"/>
          <w:sz w:val="18"/>
          <w:szCs w:val="18"/>
          <w:color w:val="auto"/>
        </w:rPr>
      </w:pPr>
    </w:p>
    <w:p>
      <w:pPr>
        <w:jc w:val="both"/>
        <w:ind w:firstLine="648"/>
        <w:spacing w:after="0" w:line="336" w:lineRule="auto"/>
        <w:tabs>
          <w:tab w:leader="none" w:pos="1800"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Opinions of Counsel.</w:t>
      </w:r>
      <w:r>
        <w:rPr>
          <w:rFonts w:ascii="Arial" w:cs="Arial" w:eastAsia="Arial" w:hAnsi="Arial"/>
          <w:sz w:val="17"/>
          <w:szCs w:val="17"/>
          <w:color w:val="auto"/>
        </w:rPr>
        <w:t xml:space="preserve">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Administrative Agent and the Lenders).</w:t>
      </w:r>
    </w:p>
    <w:p>
      <w:pPr>
        <w:spacing w:after="0" w:line="151" w:lineRule="exact"/>
        <w:rPr>
          <w:sz w:val="20"/>
          <w:szCs w:val="20"/>
          <w:color w:val="auto"/>
        </w:rPr>
      </w:pPr>
    </w:p>
    <w:p>
      <w:pPr>
        <w:ind w:left="640" w:hanging="640"/>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p>
    <w:p>
      <w:pPr>
        <w:spacing w:after="0" w:line="252" w:lineRule="exact"/>
        <w:rPr>
          <w:rFonts w:ascii="Arial" w:cs="Arial" w:eastAsia="Arial" w:hAnsi="Arial"/>
          <w:sz w:val="18"/>
          <w:szCs w:val="18"/>
          <w:color w:val="auto"/>
        </w:rPr>
      </w:pPr>
    </w:p>
    <w:p>
      <w:pPr>
        <w:jc w:val="both"/>
        <w:ind w:firstLine="648"/>
        <w:spacing w:after="0" w:line="304" w:lineRule="auto"/>
        <w:tabs>
          <w:tab w:leader="none" w:pos="106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Filings and Recordings.</w:t>
      </w:r>
      <w:r>
        <w:rPr>
          <w:rFonts w:ascii="Arial" w:cs="Arial" w:eastAsia="Arial" w:hAnsi="Arial"/>
          <w:sz w:val="18"/>
          <w:szCs w:val="18"/>
          <w:color w:val="auto"/>
        </w:rPr>
        <w:t xml:space="preserve"> The Administrative Agent shall have received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 and Liens to be terminated in connection with the repayment of existing Indebtedness contemplated under </w:t>
      </w:r>
      <w:r>
        <w:rPr>
          <w:rFonts w:ascii="Arial" w:cs="Arial" w:eastAsia="Arial" w:hAnsi="Arial"/>
          <w:sz w:val="18"/>
          <w:szCs w:val="18"/>
          <w:u w:val="single" w:color="auto"/>
          <w:color w:val="auto"/>
        </w:rPr>
        <w:t>Section 6.1(g)(iii))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48"/>
        <w:spacing w:after="0" w:line="311" w:lineRule="auto"/>
        <w:tabs>
          <w:tab w:leader="none" w:pos="111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Pledged Collateral.</w:t>
      </w:r>
      <w:r>
        <w:rPr>
          <w:rFonts w:ascii="Arial" w:cs="Arial" w:eastAsia="Arial" w:hAnsi="Arial"/>
          <w:sz w:val="18"/>
          <w:szCs w:val="18"/>
          <w:color w:val="auto"/>
        </w:rPr>
        <w:t xml:space="preserve"> The Administrative Agent shall have received (A) original stock certificates or other certificates evidencing the certificated Equity Interests pledged pursuant to the Security Documents, together with an undated stock power for each such certificate duly executed in blank by the registered owner thereof and (B) each original</w:t>
      </w:r>
    </w:p>
    <w:p>
      <w:pPr>
        <w:spacing w:after="0" w:line="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promissory note pledged pursuant to the Security Documents together with an undated allonge for each such promissory note duly executed in blank by the holder thereof.</w:t>
      </w:r>
    </w:p>
    <w:p>
      <w:pPr>
        <w:spacing w:after="0" w:line="211" w:lineRule="exact"/>
        <w:rPr>
          <w:sz w:val="20"/>
          <w:szCs w:val="20"/>
          <w:color w:val="auto"/>
        </w:rPr>
      </w:pPr>
    </w:p>
    <w:p>
      <w:pPr>
        <w:jc w:val="both"/>
        <w:ind w:firstLine="648"/>
        <w:spacing w:after="0" w:line="302" w:lineRule="auto"/>
        <w:tabs>
          <w:tab w:leader="none" w:pos="181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Lien Search.</w:t>
      </w:r>
      <w:r>
        <w:rPr>
          <w:rFonts w:ascii="Arial" w:cs="Arial" w:eastAsia="Arial" w:hAnsi="Arial"/>
          <w:sz w:val="18"/>
          <w:szCs w:val="18"/>
          <w:color w:val="auto"/>
        </w:rPr>
        <w:t xml:space="preserve"> The Administrative Agent shall have received the results of a Lien search (including a search as to judgments, bankruptcy, tax and intellectual property matters), in form and substance reasonably satisfactory thereto, made against the Credit Parties under the Uniform Commercial Code (or applicable judicial docket) as in effect in each jurisdiction in which filings or recordations under the Uniform Commercial Code should be made to evidence or perfect security interests in all assets of such Credit Party, indicating among other things that the assets of each such Credit Party are free and clear of any Lien (except for Permitted Liens) and Liens to be terminated in connection with the repayment of existing Indebtedness contemplated under </w:t>
      </w:r>
      <w:r>
        <w:rPr>
          <w:rFonts w:ascii="Arial" w:cs="Arial" w:eastAsia="Arial" w:hAnsi="Arial"/>
          <w:sz w:val="18"/>
          <w:szCs w:val="18"/>
          <w:u w:val="single" w:color="auto"/>
          <w:color w:val="auto"/>
        </w:rPr>
        <w:t>Section 6.1(g)(iii))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20" w:firstLine="654"/>
        <w:spacing w:after="0" w:line="304" w:lineRule="auto"/>
        <w:tabs>
          <w:tab w:leader="none" w:pos="1159"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Property and Liability Insurance.</w:t>
      </w:r>
      <w:r>
        <w:rPr>
          <w:rFonts w:ascii="Arial" w:cs="Arial" w:eastAsia="Arial" w:hAnsi="Arial"/>
          <w:sz w:val="18"/>
          <w:szCs w:val="18"/>
          <w:color w:val="auto"/>
        </w:rPr>
        <w:t xml:space="preserve"> The Administrative Agent shall have received, in each case in form and substance reasonably satisfactory to the Administrative Agent, evidence of property, business interruption and liability insurance covering each Credit Party, evidence of payment of all insurance premiums for the current policy year of each policy (with appropriate endorsements naming the Administrative Agent as lender’s loss payee (and mortgagee, as applicable) on all policies for property hazard insurance and as additional insured on all policies for liability insurance), and if requested by the Administrative Agent, copies of such insurance policies.</w:t>
      </w:r>
    </w:p>
    <w:p>
      <w:pPr>
        <w:sectPr>
          <w:pgSz w:w="11900" w:h="16838" w:orient="portrait"/>
          <w:cols w:equalWidth="0" w:num="1">
            <w:col w:w="11020"/>
          </w:cols>
          <w:pgMar w:left="640" w:top="61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020"/>
          </w:cols>
          <w:pgMar w:left="640" w:top="611" w:right="239" w:bottom="1440" w:gutter="0" w:footer="0" w:header="0"/>
          <w:type w:val="continuous"/>
        </w:sectPr>
      </w:pPr>
    </w:p>
    <w:bookmarkStart w:id="129" w:name="page130"/>
    <w:bookmarkEnd w:id="129"/>
    <w:p>
      <w:pPr>
        <w:jc w:val="both"/>
        <w:ind w:firstLine="648"/>
        <w:spacing w:after="0" w:line="354" w:lineRule="auto"/>
        <w:tabs>
          <w:tab w:leader="none" w:pos="1102"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Other Collateral Documentation.</w:t>
      </w:r>
      <w:r>
        <w:rPr>
          <w:rFonts w:ascii="Arial" w:cs="Arial" w:eastAsia="Arial" w:hAnsi="Arial"/>
          <w:sz w:val="16"/>
          <w:szCs w:val="16"/>
          <w:color w:val="auto"/>
        </w:rPr>
        <w:t xml:space="preserve"> The Administrative Agent shall have received any documents reasonably requested thereby or as required by the terms of the Security Documents to evidence its security interest in the Collateral (including, without limitation, any landlord waivers or collateral access agreements, filings evidencing a security interest in any intellectual property included in the Collateral, notices and assignments of claims required under Applicable Laws, bailee or warehouseman letters or filings with the FCC or any other applicable Governmental Authority).</w:t>
      </w:r>
    </w:p>
    <w:p>
      <w:pPr>
        <w:spacing w:after="0" w:line="129" w:lineRule="exact"/>
        <w:rPr>
          <w:rFonts w:ascii="Arial" w:cs="Arial" w:eastAsia="Arial" w:hAnsi="Arial"/>
          <w:sz w:val="16"/>
          <w:szCs w:val="16"/>
          <w:color w:val="auto"/>
        </w:rPr>
      </w:pPr>
    </w:p>
    <w:p>
      <w:pPr>
        <w:ind w:left="640" w:hanging="640"/>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ind w:left="640" w:hanging="640"/>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Consents; Defaults.</w:t>
      </w:r>
    </w:p>
    <w:p>
      <w:pPr>
        <w:spacing w:after="0" w:line="252" w:lineRule="exact"/>
        <w:rPr>
          <w:rFonts w:ascii="Arial" w:cs="Arial" w:eastAsia="Arial" w:hAnsi="Arial"/>
          <w:sz w:val="18"/>
          <w:szCs w:val="18"/>
          <w:color w:val="auto"/>
        </w:rPr>
      </w:pPr>
    </w:p>
    <w:p>
      <w:pPr>
        <w:jc w:val="both"/>
        <w:ind w:firstLine="648"/>
        <w:spacing w:after="0" w:line="349" w:lineRule="auto"/>
        <w:tabs>
          <w:tab w:leader="none" w:pos="1062"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Governmental and Third Party Approvals.</w:t>
      </w:r>
      <w:r>
        <w:rPr>
          <w:rFonts w:ascii="Arial" w:cs="Arial" w:eastAsia="Arial" w:hAnsi="Arial"/>
          <w:sz w:val="16"/>
          <w:szCs w:val="16"/>
          <w:color w:val="auto"/>
        </w:rPr>
        <w:t xml:space="preserve"> The Credit Parties shall have received all material governmental, shareholder and third party consents and approvals necessary in connection with the transactions contemplated by this Agreement and the other Loan Documents and all applicable waiting periods shall have expired without any action being taken by any Person that could reasonably be expected to restrain, prevent or impose any material adverse conditions on any of the Credit Parties or such other transactions or that could seek or threaten any of the foregoing, and no law or regulation shall be applicable which in the reasonable judgment of the Administrative Agent could reasonably be expected to have such effect.</w:t>
      </w:r>
    </w:p>
    <w:p>
      <w:pPr>
        <w:spacing w:after="0" w:line="161" w:lineRule="exact"/>
        <w:rPr>
          <w:sz w:val="20"/>
          <w:szCs w:val="20"/>
          <w:color w:val="auto"/>
        </w:rPr>
      </w:pPr>
    </w:p>
    <w:p>
      <w:pPr>
        <w:jc w:val="both"/>
        <w:ind w:firstLine="648"/>
        <w:spacing w:after="0" w:line="287" w:lineRule="auto"/>
        <w:tabs>
          <w:tab w:leader="none" w:pos="1112"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No Injunction, Etc.</w:t>
      </w:r>
      <w:r>
        <w:rPr>
          <w:rFonts w:ascii="Arial" w:cs="Arial" w:eastAsia="Arial" w:hAnsi="Arial"/>
          <w:sz w:val="18"/>
          <w:szCs w:val="18"/>
          <w:color w:val="auto"/>
        </w:rPr>
        <w:t xml:space="preserve"> No action, proceeding or investigation shall have been instituted, threatened or proposed before any Governmental Authority to enjoin, restrain, or prohibit, or to obtain substantial damages in respect of, or which is related to or arises out of this Agreement or the other Loan Documents or the consummation of the transactions contemplated hereby or thereby.</w:t>
      </w:r>
    </w:p>
    <w:p>
      <w:pPr>
        <w:spacing w:after="0" w:line="1" w:lineRule="exact"/>
        <w:rPr>
          <w:rFonts w:ascii="Arial" w:cs="Arial" w:eastAsia="Arial" w:hAnsi="Arial"/>
          <w:sz w:val="18"/>
          <w:szCs w:val="18"/>
          <w:color w:val="auto"/>
        </w:rPr>
      </w:pPr>
    </w:p>
    <w:p>
      <w:pPr>
        <w:ind w:left="640" w:hanging="640"/>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Financial Matters.</w:t>
      </w:r>
    </w:p>
    <w:p>
      <w:pPr>
        <w:spacing w:after="0" w:line="251" w:lineRule="exact"/>
        <w:rPr>
          <w:rFonts w:ascii="Arial" w:cs="Arial" w:eastAsia="Arial" w:hAnsi="Arial"/>
          <w:sz w:val="18"/>
          <w:szCs w:val="18"/>
          <w:color w:val="auto"/>
        </w:rPr>
      </w:pPr>
    </w:p>
    <w:p>
      <w:pPr>
        <w:jc w:val="both"/>
        <w:ind w:firstLine="648"/>
        <w:spacing w:after="0" w:line="334" w:lineRule="auto"/>
        <w:tabs>
          <w:tab w:leader="none" w:pos="1062"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Administrative Agent shall have received (A) the audited Consolidated balance sheet of Holdings and its Subsidiaries as of December 29, 2013, December 30, 2012, March 15, 2012 and March 17, 2011 and the related audited statements of income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retained earnings and cash flows for the respective Fiscal Years then ended and</w:t>
      </w:r>
    </w:p>
    <w:p>
      <w:pPr>
        <w:spacing w:after="0" w:line="23" w:lineRule="exact"/>
        <w:rPr>
          <w:rFonts w:ascii="Arial" w:cs="Arial" w:eastAsia="Arial" w:hAnsi="Arial"/>
          <w:sz w:val="16"/>
          <w:szCs w:val="16"/>
          <w:color w:val="auto"/>
        </w:rPr>
      </w:pPr>
    </w:p>
    <w:p>
      <w:pPr>
        <w:spacing w:after="0" w:line="276" w:lineRule="auto"/>
        <w:rPr>
          <w:rFonts w:ascii="Arial" w:cs="Arial" w:eastAsia="Arial" w:hAnsi="Arial"/>
          <w:sz w:val="16"/>
          <w:szCs w:val="16"/>
          <w:color w:val="auto"/>
        </w:rPr>
      </w:pPr>
      <w:r>
        <w:rPr>
          <w:rFonts w:ascii="Arial" w:cs="Arial" w:eastAsia="Arial" w:hAnsi="Arial"/>
          <w:sz w:val="18"/>
          <w:szCs w:val="18"/>
          <w:color w:val="auto"/>
        </w:rPr>
        <w:t>(B) unaudited Consolidated balance sheet of Holdings and its Subsidiaries as of June 15, 2014 and related unaudited interim statements of income and retained earnings.</w:t>
      </w:r>
    </w:p>
    <w:p>
      <w:pPr>
        <w:spacing w:after="0" w:line="212" w:lineRule="exact"/>
        <w:rPr>
          <w:sz w:val="20"/>
          <w:szCs w:val="20"/>
          <w:color w:val="auto"/>
        </w:rPr>
      </w:pPr>
    </w:p>
    <w:p>
      <w:pPr>
        <w:jc w:val="both"/>
        <w:ind w:firstLine="648"/>
        <w:spacing w:after="0" w:line="329" w:lineRule="auto"/>
        <w:tabs>
          <w:tab w:leader="none" w:pos="1112"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Pro Forma Financial Statements.</w:t>
      </w:r>
      <w:r>
        <w:rPr>
          <w:rFonts w:ascii="Arial" w:cs="Arial" w:eastAsia="Arial" w:hAnsi="Arial"/>
          <w:sz w:val="17"/>
          <w:szCs w:val="17"/>
          <w:color w:val="auto"/>
        </w:rPr>
        <w:t xml:space="preserve"> The Administrative Agent shall have received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consolidated financial statements for Holdings and its Subsidiaries for the four-quarter period most recently ended prior to the Closing Date for which financial statements are available calculated on a Pro Forma Basis after giving effect to the Transactions and a pro forma balance sheet of Holdings and its Subsidiaries prepared from the financial statements for the calendar month ended immediately prior to the Closing Date giving pro forma effect to the Transactions.</w:t>
      </w:r>
    </w:p>
    <w:p>
      <w:pPr>
        <w:spacing w:after="0" w:line="170" w:lineRule="exact"/>
        <w:rPr>
          <w:rFonts w:ascii="Arial" w:cs="Arial" w:eastAsia="Arial" w:hAnsi="Arial"/>
          <w:sz w:val="17"/>
          <w:szCs w:val="17"/>
          <w:color w:val="auto"/>
        </w:rPr>
      </w:pPr>
    </w:p>
    <w:p>
      <w:pPr>
        <w:jc w:val="both"/>
        <w:ind w:firstLine="648"/>
        <w:spacing w:after="0" w:line="354" w:lineRule="auto"/>
        <w:tabs>
          <w:tab w:leader="none" w:pos="1810"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Financial Projections.</w:t>
      </w:r>
      <w:r>
        <w:rPr>
          <w:rFonts w:ascii="Arial" w:cs="Arial" w:eastAsia="Arial" w:hAnsi="Arial"/>
          <w:sz w:val="16"/>
          <w:szCs w:val="16"/>
          <w:color w:val="auto"/>
        </w:rPr>
        <w:t xml:space="preserve"> The Administrative Agent shall have received pro forma Consolidated financial statements for Holdings and its Subsidiaries, and projections prepared by management of Holdings, of balance sheets, income statements and cash flow statements on an annual basis for each year during the term of the Credit Facility, which shall not be materially inconsistent with any financial information or projections previously delivered to the Administrative Agent in connection with the negotiation of the terms of the Loans and this Agreement.</w:t>
      </w:r>
    </w:p>
    <w:p>
      <w:pPr>
        <w:spacing w:after="0" w:line="156" w:lineRule="exact"/>
        <w:rPr>
          <w:rFonts w:ascii="Arial" w:cs="Arial" w:eastAsia="Arial" w:hAnsi="Arial"/>
          <w:sz w:val="16"/>
          <w:szCs w:val="16"/>
          <w:color w:val="auto"/>
        </w:rPr>
      </w:pPr>
    </w:p>
    <w:p>
      <w:pPr>
        <w:ind w:firstLine="648"/>
        <w:spacing w:after="0" w:line="315" w:lineRule="auto"/>
        <w:tabs>
          <w:tab w:leader="none" w:pos="1800"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Financial Condition/Solvency Certificate.</w:t>
      </w:r>
      <w:r>
        <w:rPr>
          <w:rFonts w:ascii="Arial" w:cs="Arial" w:eastAsia="Arial" w:hAnsi="Arial"/>
          <w:sz w:val="17"/>
          <w:szCs w:val="17"/>
          <w:color w:val="auto"/>
        </w:rPr>
        <w:t xml:space="preserve"> Holdings shall have delivered to the Administrative Agent a certificate, in form and substance reasonably satisfactory to the Administrative Agent, and certified as accurate by the chief financial officer of Holdings, that</w:t>
      </w:r>
    </w:p>
    <w:p>
      <w:pPr>
        <w:jc w:val="both"/>
        <w:spacing w:after="0" w:line="334" w:lineRule="auto"/>
        <w:tabs>
          <w:tab w:leader="none" w:pos="49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after giving effect to the Transactions, the Credit Parties and their Subsidiaries thereof, on a Consolidated basis, are Solvent, (B) attached thereto are calculations evidencing compliance on a Pro Forma Basis after giving effect to the Transactions with the covenants contained in </w:t>
      </w:r>
      <w:r>
        <w:rPr>
          <w:rFonts w:ascii="Arial" w:cs="Arial" w:eastAsia="Arial" w:hAnsi="Arial"/>
          <w:sz w:val="16"/>
          <w:szCs w:val="16"/>
          <w:u w:val="single" w:color="auto"/>
          <w:color w:val="auto"/>
        </w:rPr>
        <w:t>Section 9.14</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spacing w:after="0" w:line="324" w:lineRule="auto"/>
        <w:tabs>
          <w:tab w:leader="none" w:pos="29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financial projections previously delivered to the Administrative Agent represent the good faith estimates (utilizing reasonable assumptions) of the financial condition and operations of Holdings and its Subsidiaries.</w:t>
      </w:r>
    </w:p>
    <w:p>
      <w:pPr>
        <w:spacing w:after="0" w:line="170" w:lineRule="exact"/>
        <w:rPr>
          <w:rFonts w:ascii="Arial" w:cs="Arial" w:eastAsia="Arial" w:hAnsi="Arial"/>
          <w:sz w:val="18"/>
          <w:szCs w:val="18"/>
          <w:color w:val="auto"/>
        </w:rPr>
      </w:pPr>
    </w:p>
    <w:p>
      <w:pPr>
        <w:jc w:val="both"/>
        <w:ind w:firstLine="648"/>
        <w:spacing w:after="0" w:line="302" w:lineRule="auto"/>
        <w:tabs>
          <w:tab w:leader="none" w:pos="1102"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Payment at Closing.</w:t>
      </w:r>
      <w:r>
        <w:rPr>
          <w:rFonts w:ascii="Arial" w:cs="Arial" w:eastAsia="Arial" w:hAnsi="Arial"/>
          <w:sz w:val="18"/>
          <w:szCs w:val="18"/>
          <w:color w:val="auto"/>
        </w:rPr>
        <w:t xml:space="preserve"> The Borrower shall have paid or made arrangements to pay contemporaneously with closing (A) to the Administrative Agent, the Arranger and the Lenders the fees set forth or referenced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w:t>
      </w:r>
    </w:p>
    <w:p>
      <w:pPr>
        <w:spacing w:after="0" w:line="1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640" w:top="611" w:right="239" w:bottom="1440" w:gutter="0" w:footer="0" w:header="0"/>
        </w:sectPr>
      </w:pPr>
    </w:p>
    <w:bookmarkStart w:id="130" w:name="page131"/>
    <w:bookmarkEnd w:id="130"/>
    <w:p>
      <w:pPr>
        <w:jc w:val="both"/>
        <w:ind w:left="280"/>
        <w:spacing w:after="0" w:line="31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54" w:lineRule="exact"/>
        <w:rPr>
          <w:sz w:val="20"/>
          <w:szCs w:val="20"/>
          <w:color w:val="auto"/>
        </w:rPr>
      </w:pPr>
    </w:p>
    <w:p>
      <w:pPr>
        <w:ind w:left="1300" w:hanging="656"/>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640" w:right="20" w:firstLine="653"/>
        <w:spacing w:after="0" w:line="324" w:lineRule="auto"/>
        <w:tabs>
          <w:tab w:leader="none" w:pos="1998"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The Administrative Agent shall have received a Notice of Account Designation specifying the account or accounts to which the proceeds of any Loans made on or after the Closing Date are to be disbursed.</w:t>
      </w:r>
    </w:p>
    <w:p>
      <w:pPr>
        <w:spacing w:after="0" w:line="305" w:lineRule="exact"/>
        <w:rPr>
          <w:sz w:val="20"/>
          <w:szCs w:val="20"/>
          <w:color w:val="auto"/>
        </w:rPr>
      </w:pPr>
    </w:p>
    <w:p>
      <w:pPr>
        <w:ind w:left="2540" w:hanging="505"/>
        <w:spacing w:after="0"/>
        <w:tabs>
          <w:tab w:leader="none" w:pos="25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63" w:lineRule="exact"/>
        <w:rPr>
          <w:sz w:val="20"/>
          <w:szCs w:val="20"/>
          <w:color w:val="auto"/>
        </w:rPr>
      </w:pPr>
    </w:p>
    <w:p>
      <w:pPr>
        <w:ind w:left="640" w:right="3280" w:firstLine="1391"/>
        <w:spacing w:after="0" w:line="290" w:lineRule="auto"/>
        <w:rPr>
          <w:sz w:val="20"/>
          <w:szCs w:val="20"/>
          <w:color w:val="auto"/>
        </w:rPr>
      </w:pPr>
      <w:r>
        <w:rPr>
          <w:rFonts w:ascii="Arial" w:cs="Arial" w:eastAsia="Arial" w:hAnsi="Arial"/>
          <w:sz w:val="17"/>
          <w:szCs w:val="17"/>
          <w:color w:val="auto"/>
        </w:rPr>
        <w:t xml:space="preserve">(iii) </w:t>
      </w:r>
      <w:r>
        <w:rPr>
          <w:rFonts w:ascii="Arial" w:cs="Arial" w:eastAsia="Arial" w:hAnsi="Arial"/>
          <w:sz w:val="17"/>
          <w:szCs w:val="17"/>
          <w:u w:val="single" w:color="auto"/>
          <w:color w:val="auto"/>
        </w:rPr>
        <w:t>Existing Indebtedness.</w:t>
      </w:r>
      <w:r>
        <w:rPr>
          <w:rFonts w:ascii="Arial" w:cs="Arial" w:eastAsia="Arial" w:hAnsi="Arial"/>
          <w:sz w:val="17"/>
          <w:szCs w:val="17"/>
          <w:color w:val="auto"/>
        </w:rPr>
        <w:t xml:space="preserve"> All existing Indebtedness of Holdings and its Subsidiaries (excluding Indebtedness permitted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be repaid in full, all</w:t>
      </w:r>
    </w:p>
    <w:p>
      <w:pPr>
        <w:spacing w:after="0" w:line="1"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commitments (if any) in respect thereof shall have been terminated and all guarantees therefor and security therefor shall be released, and the Administrative Agent shall have received pay-off letters in form and substance satisfactory to it evidencing such repayment, termination and release.</w:t>
      </w:r>
    </w:p>
    <w:p>
      <w:pPr>
        <w:spacing w:after="0" w:line="231" w:lineRule="exact"/>
        <w:rPr>
          <w:sz w:val="20"/>
          <w:szCs w:val="20"/>
          <w:color w:val="auto"/>
        </w:rPr>
      </w:pPr>
    </w:p>
    <w:p>
      <w:pPr>
        <w:jc w:val="both"/>
        <w:ind w:left="640" w:firstLine="653"/>
        <w:spacing w:after="0" w:line="311" w:lineRule="auto"/>
        <w:tabs>
          <w:tab w:leader="none" w:pos="199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 xml:space="preserve"> Holdings, the Borrower and each of the Subsidiary Guarantors shall have provided to the Administrative Agent and the Lenders the documentation and other information requested by the Administrative Agent in order to comply with requirements of the PATRIOT Act, applicable “know your customer” and anti-money laundering rules and regulations.</w:t>
      </w:r>
    </w:p>
    <w:p>
      <w:pPr>
        <w:spacing w:after="0" w:line="194" w:lineRule="exact"/>
        <w:rPr>
          <w:rFonts w:ascii="Arial" w:cs="Arial" w:eastAsia="Arial" w:hAnsi="Arial"/>
          <w:sz w:val="18"/>
          <w:szCs w:val="18"/>
          <w:color w:val="auto"/>
        </w:rPr>
      </w:pPr>
    </w:p>
    <w:p>
      <w:pPr>
        <w:jc w:val="both"/>
        <w:ind w:left="640" w:firstLine="653"/>
        <w:spacing w:after="0" w:line="336" w:lineRule="auto"/>
        <w:tabs>
          <w:tab w:leader="none" w:pos="204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Other Documents.</w:t>
      </w:r>
      <w:r>
        <w:rPr>
          <w:rFonts w:ascii="Arial" w:cs="Arial" w:eastAsia="Arial" w:hAnsi="Arial"/>
          <w:sz w:val="17"/>
          <w:szCs w:val="17"/>
          <w:color w:val="auto"/>
        </w:rPr>
        <w:t xml:space="preserve">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w:t>
      </w:r>
    </w:p>
    <w:p>
      <w:pPr>
        <w:spacing w:after="0" w:line="15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Conditions to All Extensions of Credit.</w:t>
      </w:r>
      <w:r>
        <w:rPr>
          <w:rFonts w:ascii="Arial" w:cs="Arial" w:eastAsia="Arial" w:hAnsi="Arial"/>
          <w:sz w:val="17"/>
          <w:szCs w:val="17"/>
          <w:color w:val="auto"/>
        </w:rPr>
        <w:t xml:space="preserve"> The obligations of the Lenders to make or participate in any Extensions of Credit (including the initial Extension of Credit), convert or continue any Loan and/or any Issuing Lender to issue or extend any Letter of Credit are subject to the satisfaction of the following conditions precedent on the relevant borrowing, continuation, conversion, issuance or extension date:</w:t>
      </w:r>
    </w:p>
    <w:p>
      <w:pPr>
        <w:spacing w:after="0" w:line="193" w:lineRule="exact"/>
        <w:rPr>
          <w:sz w:val="20"/>
          <w:szCs w:val="20"/>
          <w:color w:val="auto"/>
        </w:rPr>
      </w:pPr>
    </w:p>
    <w:p>
      <w:pPr>
        <w:jc w:val="both"/>
        <w:ind w:firstLine="644"/>
        <w:spacing w:after="0" w:line="302" w:lineRule="auto"/>
        <w:tabs>
          <w:tab w:leader="none" w:pos="138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Continuation of Representations and Warranties.</w:t>
      </w:r>
      <w:r>
        <w:rPr>
          <w:rFonts w:ascii="Arial" w:cs="Arial" w:eastAsia="Arial" w:hAnsi="Arial"/>
          <w:sz w:val="18"/>
          <w:szCs w:val="18"/>
          <w:color w:val="auto"/>
        </w:rPr>
        <w:t xml:space="preserve">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189" w:lineRule="exact"/>
        <w:rPr>
          <w:rFonts w:ascii="Arial" w:cs="Arial" w:eastAsia="Arial" w:hAnsi="Arial"/>
          <w:sz w:val="18"/>
          <w:szCs w:val="18"/>
          <w:color w:val="auto"/>
        </w:rPr>
      </w:pPr>
    </w:p>
    <w:p>
      <w:pPr>
        <w:jc w:val="both"/>
        <w:ind w:firstLine="644"/>
        <w:spacing w:after="0" w:line="311" w:lineRule="auto"/>
        <w:tabs>
          <w:tab w:leader="none" w:pos="139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Existing Default.</w:t>
      </w:r>
      <w:r>
        <w:rPr>
          <w:rFonts w:ascii="Arial" w:cs="Arial" w:eastAsia="Arial" w:hAnsi="Arial"/>
          <w:sz w:val="18"/>
          <w:szCs w:val="18"/>
          <w:color w:val="auto"/>
        </w:rPr>
        <w:t xml:space="preserve"> No Default or Event of Default shall have occurred and be continuing (i) on the borrowing date with respect to such Loan or after giving effect to the Loans to be made on such date or (ii) on the issuance or extension date with respect to such Letter of Credit or after giving effect to the issuance or extension of such Letter of Credit on such date.</w:t>
      </w:r>
    </w:p>
    <w:p>
      <w:pPr>
        <w:spacing w:after="0" w:line="181" w:lineRule="exact"/>
        <w:rPr>
          <w:rFonts w:ascii="Arial" w:cs="Arial" w:eastAsia="Arial" w:hAnsi="Arial"/>
          <w:sz w:val="18"/>
          <w:szCs w:val="18"/>
          <w:color w:val="auto"/>
        </w:rPr>
      </w:pPr>
    </w:p>
    <w:p>
      <w:pPr>
        <w:ind w:right="20" w:firstLine="644"/>
        <w:spacing w:after="0" w:line="324" w:lineRule="auto"/>
        <w:tabs>
          <w:tab w:leader="none" w:pos="138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The Administrative Agent shall have received a Notice of Borrowing or Letter of Credit Application, as applicable, from the Borrower in accordance with </w:t>
      </w:r>
      <w:r>
        <w:rPr>
          <w:rFonts w:ascii="Arial" w:cs="Arial" w:eastAsia="Arial" w:hAnsi="Arial"/>
          <w:sz w:val="18"/>
          <w:szCs w:val="18"/>
          <w:u w:val="single" w:color="auto"/>
          <w:color w:val="auto"/>
        </w:rPr>
        <w:t>Section 2.3(a), Section 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as applicable.</w:t>
      </w:r>
    </w:p>
    <w:p>
      <w:pPr>
        <w:spacing w:after="0" w:line="143" w:lineRule="exact"/>
        <w:rPr>
          <w:rFonts w:ascii="Arial" w:cs="Arial" w:eastAsia="Arial" w:hAnsi="Arial"/>
          <w:sz w:val="18"/>
          <w:szCs w:val="18"/>
          <w:color w:val="auto"/>
        </w:rPr>
      </w:pPr>
    </w:p>
    <w:p>
      <w:pPr>
        <w:ind w:left="1300" w:hanging="656"/>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xml:space="preserve"> So long as any Lender is a Defaulting Lender,</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360" w:top="611" w:right="239" w:bottom="1440" w:gutter="0" w:footer="0" w:header="0"/>
        </w:sectPr>
      </w:pPr>
    </w:p>
    <w:bookmarkStart w:id="131" w:name="page132"/>
    <w:bookmarkEnd w:id="131"/>
    <w:p>
      <w:pPr>
        <w:jc w:val="both"/>
        <w:ind w:left="4" w:hanging="4"/>
        <w:spacing w:after="0" w:line="311" w:lineRule="auto"/>
        <w:tabs>
          <w:tab w:leader="none" w:pos="71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after giving effect thereto.</w:t>
      </w:r>
    </w:p>
    <w:p>
      <w:pPr>
        <w:spacing w:after="0" w:line="154" w:lineRule="exact"/>
        <w:rPr>
          <w:sz w:val="20"/>
          <w:szCs w:val="20"/>
          <w:color w:val="auto"/>
        </w:rPr>
      </w:pPr>
    </w:p>
    <w:p>
      <w:pPr>
        <w:jc w:val="center"/>
        <w:ind w:left="132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REPRESENTATIONS AND WARRANTIES OF THE CREDIT PARTIES</w:t>
      </w:r>
    </w:p>
    <w:p>
      <w:pPr>
        <w:spacing w:after="0" w:line="225"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6"/>
          <w:szCs w:val="16"/>
          <w:color w:val="auto"/>
        </w:rPr>
        <w:t xml:space="preserve">To induce the Administrative Agent and Lenders to enter into this Agreement and to induce the Lenders to make Extensions of Credit, the Credit Parties hereby represent and warrant to the Administrative Agent and the Lenders both before and after giving effect to the transactions contemplated hereunder, which representations and warranties shall be deemed made on the Closing Date and as otherwise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that:</w:t>
      </w:r>
    </w:p>
    <w:p>
      <w:pPr>
        <w:spacing w:after="0" w:line="201"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Organization; Power; Qualification.</w:t>
      </w:r>
      <w:r>
        <w:rPr>
          <w:rFonts w:ascii="Arial" w:cs="Arial" w:eastAsia="Arial" w:hAnsi="Arial"/>
          <w:sz w:val="17"/>
          <w:szCs w:val="17"/>
          <w:color w:val="auto"/>
        </w:rPr>
        <w:t xml:space="preserve"> Each Credit Party and each Subsidiary thereof (a) is duly organized, validly existing and in good standing under the laws of the jurisdiction of its incorporation or formation, (b) has the power and authority to own its Properties and to carry on its business as now being and hereafter proposed to be conducted and (c) is duly qualified and authorized to do business in each jurisdiction in which the character of its Properties or the nature of its business requires such qualification and authorization except in jurisdictions where the failure to be so qualified or in good standing could not reasonably be expected to result in a Material Adverse Effect. The jurisdictions in which each Credit Party and each Subsidiary thereof are organized as of the Closing Date are described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the Disclosure Letter.</w:t>
      </w:r>
    </w:p>
    <w:p>
      <w:pPr>
        <w:spacing w:after="0" w:line="233"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Each Subsidiary of each Credit Party as of the Closing Date is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Disclosure Letter. As of the Closing Date, the capitalization of each Credit Party (other than Holdings) and its Subsidiaries consists of the number of shares or units, authorized, issued and outstanding, of such classes and series, with or without par value,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Disclosure Letter. All outstanding shares of such Credit Parties and Subsidiaries have been duly authorized and validly issued and are fully paid and nonassessable and not subject to any preemptive or similar rights, except as described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Disclosure Letter.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Disclosure Letter.</w:t>
      </w:r>
    </w:p>
    <w:p>
      <w:pPr>
        <w:spacing w:after="0" w:line="246"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xml:space="preserve"> Each Credit Party and each Subsidiary thereof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and each Subsidiary thereof that is a party thereto, and each such document constitutes the legal, valid and binding obligation of each Credit Party and each Subsidiary thereof that is a party thereto,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67"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Compliance of Agreement, Loan Documents and Borrowing with Laws, Etc.</w:t>
      </w:r>
      <w:r>
        <w:rPr>
          <w:rFonts w:ascii="Arial" w:cs="Arial" w:eastAsia="Arial" w:hAnsi="Arial"/>
          <w:sz w:val="16"/>
          <w:szCs w:val="16"/>
          <w:color w:val="auto"/>
        </w:rPr>
        <w:t xml:space="preserve"> The execution, delivery and performance by each Credit Party and each Subsidiary thereof of the Loan Documents to which each such Person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which breach or default could, individually or in the aggregate, reasonably be expected to have a Material Adverse Effect, (d) result in or require the creation or imposition of any Lien upon or with respect to any property now owned or hereafter acquired by such Person other than Permitted Liens or (e) require any consent or authorization of, filing with, or other act in respect of, an arbitrator or Governmental Authority. No consent of any other Person is required in connection with the execution, delivery, performance, validity or enforceability of this Agreement other than (i) consents, authorizations, filings or other acts or consents for which the failure to obtain or make could not, individually or in the aggregate, reasonably be expected to have a Material Adverse Effect,</w:t>
      </w:r>
    </w:p>
    <w:p>
      <w:pPr>
        <w:spacing w:after="0" w:line="6" w:lineRule="exact"/>
        <w:rPr>
          <w:sz w:val="20"/>
          <w:szCs w:val="20"/>
          <w:color w:val="auto"/>
        </w:rPr>
      </w:pPr>
    </w:p>
    <w:p>
      <w:pPr>
        <w:ind w:left="5504" w:right="2040" w:hanging="5504"/>
        <w:spacing w:after="0" w:line="575" w:lineRule="auto"/>
        <w:tabs>
          <w:tab w:leader="none" w:pos="75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consents or filings under the UCC, (iii) filings with the United States Copyright Office and/or the United States Patent 60</w:t>
      </w:r>
    </w:p>
    <w:p>
      <w:pPr>
        <w:sectPr>
          <w:pgSz w:w="11900" w:h="16838" w:orient="portrait"/>
          <w:cols w:equalWidth="0" w:num="1">
            <w:col w:w="11304"/>
          </w:cols>
          <w:pgMar w:left="356" w:top="611" w:right="239" w:bottom="1440" w:gutter="0" w:footer="0" w:header="0"/>
        </w:sectPr>
      </w:pPr>
    </w:p>
    <w:bookmarkStart w:id="132" w:name="page133"/>
    <w:bookmarkEnd w:id="132"/>
    <w:p>
      <w:pPr>
        <w:ind w:left="40"/>
        <w:spacing w:after="0"/>
        <w:rPr>
          <w:sz w:val="20"/>
          <w:szCs w:val="20"/>
          <w:color w:val="auto"/>
        </w:rPr>
      </w:pPr>
      <w:r>
        <w:rPr>
          <w:rFonts w:ascii="Arial" w:cs="Arial" w:eastAsia="Arial" w:hAnsi="Arial"/>
          <w:sz w:val="18"/>
          <w:szCs w:val="18"/>
          <w:color w:val="auto"/>
        </w:rPr>
        <w:t>and Trademark Office and (iv) Mortgage filings with the applicable county recording office or register of deeds.</w:t>
      </w:r>
    </w:p>
    <w:p>
      <w:pPr>
        <w:spacing w:after="0" w:line="239" w:lineRule="exact"/>
        <w:rPr>
          <w:sz w:val="20"/>
          <w:szCs w:val="20"/>
          <w:color w:val="auto"/>
        </w:rPr>
      </w:pPr>
    </w:p>
    <w:p>
      <w:pPr>
        <w:jc w:val="both"/>
        <w:ind w:left="40" w:firstLine="648"/>
        <w:spacing w:after="0" w:line="272"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Compliance with Law; Governmental Approvals.</w:t>
      </w:r>
      <w:r>
        <w:rPr>
          <w:rFonts w:ascii="Arial" w:cs="Arial" w:eastAsia="Arial" w:hAnsi="Arial"/>
          <w:sz w:val="17"/>
          <w:szCs w:val="17"/>
          <w:color w:val="auto"/>
        </w:rPr>
        <w:t xml:space="preserve"> Each Credit Party and each Subsidiary thereof (a) has all Governmental Approvals required by any Applicable Law for it to conduct its business, each of which is in full force and effect, is final and not subject to review on appeal and is not the subject of any pending or, to the knowledge of any Responsible Officer, threatened attack by direct or collateral proceeding, (b) is in compliance with each Governmental Approval applicable to it and in compliance with all other Applicable Laws relating to it or any of its respective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78" w:lineRule="exact"/>
        <w:rPr>
          <w:sz w:val="20"/>
          <w:szCs w:val="20"/>
          <w:color w:val="auto"/>
        </w:rPr>
      </w:pPr>
    </w:p>
    <w:p>
      <w:pPr>
        <w:jc w:val="both"/>
        <w:ind w:left="40" w:firstLine="648"/>
        <w:spacing w:after="0" w:line="286"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xml:space="preserve">. Each Credit Party and each Subsidiary thereof has duly filed or caused to be filed all federal, state, local and other tax returns required by Applicable Law to be filed, and has paid, or made adequate provision for the payment of, all federal, state, local and other taxes, assessments and governmental charges or levies upon it and its property, income, profits and assets which are due and payable (other than any amount the validity of which is currently being 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 Subsidiary thereof for the periods covered thereby. As of the Closing Date, except as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to the Disclosure Letter, there is no ongoing audit or examination or, to the knowledge of any Responsible Officer,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and (b) Permitted Liens). The charges, accruals and reserves on the books of each Credit Party and each Subsidiary thereof in respect of federal, state, local and other taxes for all Fiscal Years and portions thereof since the organization of any Credit Party or any Subsidiary thereof are in the judgment of Holdings and the Borrower adequate, and the Borrower does not anticipate any additional taxes or assessments for any of such years.</w:t>
      </w:r>
    </w:p>
    <w:p>
      <w:pPr>
        <w:spacing w:after="0" w:line="175" w:lineRule="exact"/>
        <w:rPr>
          <w:sz w:val="20"/>
          <w:szCs w:val="20"/>
          <w:color w:val="auto"/>
        </w:rPr>
      </w:pPr>
    </w:p>
    <w:p>
      <w:pPr>
        <w:jc w:val="both"/>
        <w:ind w:left="40" w:firstLine="648"/>
        <w:spacing w:after="0" w:line="255"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Intellectual Property Matters.</w:t>
      </w:r>
      <w:r>
        <w:rPr>
          <w:rFonts w:ascii="Arial" w:cs="Arial" w:eastAsia="Arial" w:hAnsi="Arial"/>
          <w:sz w:val="18"/>
          <w:szCs w:val="18"/>
          <w:color w:val="auto"/>
        </w:rPr>
        <w:t xml:space="preserve"> Each Credit Party and each Subsidiary thereof owns or possesses rights to use all material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To the knowledge of any Responsible Officer,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xml:space="preserve"> Except to the extent that no Material Adverse Effect could reasonably be expected to result therefrom:</w:t>
      </w:r>
    </w:p>
    <w:p>
      <w:pPr>
        <w:spacing w:after="0" w:line="264" w:lineRule="exact"/>
        <w:rPr>
          <w:sz w:val="20"/>
          <w:szCs w:val="20"/>
          <w:color w:val="auto"/>
        </w:rPr>
      </w:pPr>
    </w:p>
    <w:p>
      <w:pPr>
        <w:jc w:val="both"/>
        <w:ind w:left="40" w:firstLine="644"/>
        <w:spacing w:after="0" w:line="311" w:lineRule="auto"/>
        <w:tabs>
          <w:tab w:leader="none" w:pos="142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properties owned, leased or operated by each Credit Party and each Subsidiary thereof now or in the past do not contain, and to their knowledge have not previously contained, any Hazardous Materials in amounts or concentrations which constitute or constituted a violation of applicable Environmental Laws;</w:t>
      </w:r>
    </w:p>
    <w:p>
      <w:pPr>
        <w:spacing w:after="0" w:line="181" w:lineRule="exact"/>
        <w:rPr>
          <w:rFonts w:ascii="Arial" w:cs="Arial" w:eastAsia="Arial" w:hAnsi="Arial"/>
          <w:sz w:val="18"/>
          <w:szCs w:val="18"/>
          <w:color w:val="auto"/>
        </w:rPr>
      </w:pPr>
    </w:p>
    <w:p>
      <w:pPr>
        <w:jc w:val="both"/>
        <w:ind w:firstLine="657"/>
        <w:spacing w:after="0" w:line="311" w:lineRule="auto"/>
        <w:tabs>
          <w:tab w:leader="none" w:pos="141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Credit Party and each Subsidiary thereof and such properties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81" w:lineRule="exact"/>
        <w:rPr>
          <w:rFonts w:ascii="Arial" w:cs="Arial" w:eastAsia="Arial" w:hAnsi="Arial"/>
          <w:sz w:val="18"/>
          <w:szCs w:val="18"/>
          <w:color w:val="auto"/>
        </w:rPr>
      </w:pPr>
    </w:p>
    <w:p>
      <w:pPr>
        <w:jc w:val="both"/>
        <w:ind w:firstLine="657"/>
        <w:spacing w:after="0" w:line="306" w:lineRule="auto"/>
        <w:tabs>
          <w:tab w:leader="none" w:pos="14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Credit Party nor any Subsidiary thereof has received any notice of violation, alleged violation, non-compliance, liability or potential liability regarding environmental matters, Hazardous Materials, or compliance with Environmental Laws that, if adversely determined, could reasonably be expected, individually or in the aggregate, to have a Material Adverse Effect, nor does any Responsible Officer of any Credit Party or any Subsidiary thereof have knowledge or reason to believe that any such notice will be received or is being threatened;</w:t>
      </w:r>
    </w:p>
    <w:p>
      <w:pPr>
        <w:spacing w:after="0" w:line="186" w:lineRule="exact"/>
        <w:rPr>
          <w:rFonts w:ascii="Arial" w:cs="Arial" w:eastAsia="Arial" w:hAnsi="Arial"/>
          <w:sz w:val="18"/>
          <w:szCs w:val="18"/>
          <w:color w:val="auto"/>
        </w:rPr>
      </w:pPr>
    </w:p>
    <w:p>
      <w:pPr>
        <w:jc w:val="both"/>
        <w:ind w:left="40" w:firstLine="644"/>
        <w:spacing w:after="0" w:line="311" w:lineRule="auto"/>
        <w:tabs>
          <w:tab w:leader="none" w:pos="143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Hazardous Materials have not been transported or disposed of to or from the properties owned, leased or operated by any Credit Party or any Subsidiary thereof in violation of, or in a manner or to a location which could reasonably be expected to give rise to liability under, Environmental Laws, nor have any Hazardous Materials been generated, treated,</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320" w:top="611" w:right="239" w:bottom="1440" w:gutter="0" w:footer="0" w:header="0"/>
        </w:sectPr>
      </w:pPr>
    </w:p>
    <w:bookmarkStart w:id="133" w:name="page134"/>
    <w:bookmarkEnd w:id="133"/>
    <w:p>
      <w:pPr>
        <w:ind w:left="4" w:right="20"/>
        <w:spacing w:after="0" w:line="324" w:lineRule="auto"/>
        <w:rPr>
          <w:sz w:val="20"/>
          <w:szCs w:val="20"/>
          <w:color w:val="auto"/>
        </w:rPr>
      </w:pPr>
      <w:r>
        <w:rPr>
          <w:rFonts w:ascii="Arial" w:cs="Arial" w:eastAsia="Arial" w:hAnsi="Arial"/>
          <w:sz w:val="18"/>
          <w:szCs w:val="18"/>
          <w:color w:val="auto"/>
        </w:rPr>
        <w:t>stored or disposed of at, on or under any of such properties in violation of, or in a manner that could reasonably be expected to give rise to liability under, any applicable Environmental Laws;</w:t>
      </w:r>
    </w:p>
    <w:p>
      <w:pPr>
        <w:spacing w:after="0" w:line="170" w:lineRule="exact"/>
        <w:rPr>
          <w:sz w:val="20"/>
          <w:szCs w:val="20"/>
          <w:color w:val="auto"/>
        </w:rPr>
      </w:pPr>
    </w:p>
    <w:p>
      <w:pPr>
        <w:jc w:val="both"/>
        <w:ind w:left="4" w:firstLine="644"/>
        <w:spacing w:after="0" w:line="302" w:lineRule="auto"/>
        <w:tabs>
          <w:tab w:leader="none" w:pos="13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judicial proceedings or governmental or administrative action is pending, or, to the knowledge of any Responsible Officer, threatened, under any Environmental Law to which any Credit Party or any Subsidiary thereof is or will be named as a potentially responsible party, nor are there any consent decrees or other decrees, consent orders, administrative orders or other orders, or other administrative or judicial requirements outstanding under any applicable Environmental Law with respect to any Credit Party, any Subsidiary thereof, with respect to any real property owned, leased or operated by any Credit Party or any Subsidiary thereof or operations conducted in connection therewith that could reasonably be expected, individually or in the aggregate, to have a Material Adverse Effect; and</w:t>
      </w:r>
    </w:p>
    <w:p>
      <w:pPr>
        <w:spacing w:after="0" w:line="192" w:lineRule="exact"/>
        <w:rPr>
          <w:rFonts w:ascii="Arial" w:cs="Arial" w:eastAsia="Arial" w:hAnsi="Arial"/>
          <w:sz w:val="18"/>
          <w:szCs w:val="18"/>
          <w:color w:val="auto"/>
        </w:rPr>
      </w:pPr>
    </w:p>
    <w:p>
      <w:pPr>
        <w:jc w:val="both"/>
        <w:ind w:left="4" w:firstLine="644"/>
        <w:spacing w:after="0" w:line="306" w:lineRule="auto"/>
        <w:tabs>
          <w:tab w:leader="none" w:pos="137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There has been no release, or to the knowledge of any Responsible Officer of any Credit Party or any Subsidiary thereof, threat of release, of Hazardous Materials at or from properties owned, leased or operated by any Credit Party or any Subsidiary, now or in the past, in violation of or in amounts or in a manner that could give rise to liability under applicable Environmental Laws that could reasonably be expected, individually or in the aggregate, to have a Material Adverse Effect.</w:t>
      </w:r>
    </w:p>
    <w:p>
      <w:pPr>
        <w:spacing w:after="0" w:line="160" w:lineRule="exact"/>
        <w:rPr>
          <w:sz w:val="20"/>
          <w:szCs w:val="20"/>
          <w:color w:val="auto"/>
        </w:rPr>
      </w:pPr>
    </w:p>
    <w:p>
      <w:pPr>
        <w:ind w:left="644"/>
        <w:spacing w:after="0"/>
        <w:tabs>
          <w:tab w:leader="none" w:pos="1844"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Employee Benefit Matters.</w:t>
      </w:r>
    </w:p>
    <w:p>
      <w:pPr>
        <w:spacing w:after="0" w:line="252" w:lineRule="exact"/>
        <w:rPr>
          <w:sz w:val="20"/>
          <w:szCs w:val="20"/>
          <w:color w:val="auto"/>
        </w:rPr>
      </w:pPr>
    </w:p>
    <w:p>
      <w:pPr>
        <w:ind w:left="4" w:firstLine="644"/>
        <w:spacing w:after="0" w:line="324" w:lineRule="auto"/>
        <w:tabs>
          <w:tab w:leader="none" w:pos="139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As of the Closing Date, no Credit Party nor any ERISA Affiliate maintains or contributes to, or has any obligation under, any Employee Benefit Plans other than those identified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to the Disclosure Letter;</w:t>
      </w:r>
    </w:p>
    <w:p>
      <w:pPr>
        <w:spacing w:after="0" w:line="170" w:lineRule="exact"/>
        <w:rPr>
          <w:rFonts w:ascii="Arial" w:cs="Arial" w:eastAsia="Arial" w:hAnsi="Arial"/>
          <w:sz w:val="18"/>
          <w:szCs w:val="18"/>
          <w:color w:val="auto"/>
        </w:rPr>
      </w:pPr>
    </w:p>
    <w:p>
      <w:pPr>
        <w:jc w:val="both"/>
        <w:ind w:left="4" w:firstLine="644"/>
        <w:spacing w:after="0" w:line="343" w:lineRule="auto"/>
        <w:tabs>
          <w:tab w:leader="none" w:pos="140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Each Credit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except where a failure to so comply could not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No liability has been incurred by any Credit Party or any ERISA Affiliate which remains unsatisfied for any taxes or penalties assessed with respect to any Employee Benefit Plan or any Multiemployer Plan except for a liability that could not reasonably be expected to have a Material Adverse Effect;</w:t>
      </w:r>
    </w:p>
    <w:p>
      <w:pPr>
        <w:spacing w:after="0" w:line="165" w:lineRule="exact"/>
        <w:rPr>
          <w:rFonts w:ascii="Arial" w:cs="Arial" w:eastAsia="Arial" w:hAnsi="Arial"/>
          <w:sz w:val="16"/>
          <w:szCs w:val="16"/>
          <w:color w:val="auto"/>
        </w:rPr>
      </w:pPr>
    </w:p>
    <w:p>
      <w:pPr>
        <w:jc w:val="both"/>
        <w:ind w:left="4" w:firstLine="644"/>
        <w:spacing w:after="0" w:line="323" w:lineRule="auto"/>
        <w:tabs>
          <w:tab w:leader="none" w:pos="139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in each case where such event could reasonably be expected to have a Material Adverse Effect, nor has there been any event requiring any disclosure under Section 4041(c)(3)(C) or 4063(a) of ERISA with respect to any Pension Plan;</w:t>
      </w:r>
    </w:p>
    <w:p>
      <w:pPr>
        <w:spacing w:after="0" w:line="190" w:lineRule="exact"/>
        <w:rPr>
          <w:rFonts w:ascii="Arial" w:cs="Arial" w:eastAsia="Arial" w:hAnsi="Arial"/>
          <w:sz w:val="17"/>
          <w:szCs w:val="17"/>
          <w:color w:val="auto"/>
        </w:rPr>
      </w:pPr>
    </w:p>
    <w:p>
      <w:pPr>
        <w:jc w:val="both"/>
        <w:ind w:left="4" w:right="20" w:firstLine="644"/>
        <w:spacing w:after="0" w:line="334" w:lineRule="auto"/>
        <w:tabs>
          <w:tab w:leader="none" w:pos="140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w:t>
      </w:r>
    </w:p>
    <w:p>
      <w:pPr>
        <w:spacing w:after="0" w:line="2" w:lineRule="exact"/>
        <w:rPr>
          <w:rFonts w:ascii="Arial" w:cs="Arial" w:eastAsia="Arial" w:hAnsi="Arial"/>
          <w:sz w:val="16"/>
          <w:szCs w:val="16"/>
          <w:color w:val="auto"/>
        </w:rPr>
      </w:pPr>
    </w:p>
    <w:p>
      <w:pPr>
        <w:ind w:left="704" w:hanging="704"/>
        <w:spacing w:after="0"/>
        <w:tabs>
          <w:tab w:leader="none" w:pos="70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failed to make a required installment or other required payment under Sections 412 or 430 of the Code;</w:t>
      </w:r>
    </w:p>
    <w:p>
      <w:pPr>
        <w:spacing w:after="0" w:line="252" w:lineRule="exact"/>
        <w:rPr>
          <w:rFonts w:ascii="Arial" w:cs="Arial" w:eastAsia="Arial" w:hAnsi="Arial"/>
          <w:sz w:val="18"/>
          <w:szCs w:val="18"/>
          <w:color w:val="auto"/>
        </w:rPr>
      </w:pPr>
    </w:p>
    <w:p>
      <w:pPr>
        <w:ind w:left="1304" w:hanging="656"/>
        <w:spacing w:after="0"/>
        <w:tabs>
          <w:tab w:leader="none" w:pos="130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 Termination Event has occurred or is reasonably expected to occur;</w:t>
      </w:r>
    </w:p>
    <w:p>
      <w:pPr>
        <w:spacing w:after="0" w:line="252" w:lineRule="exact"/>
        <w:rPr>
          <w:rFonts w:ascii="Arial" w:cs="Arial" w:eastAsia="Arial" w:hAnsi="Arial"/>
          <w:sz w:val="18"/>
          <w:szCs w:val="18"/>
          <w:color w:val="auto"/>
        </w:rPr>
      </w:pPr>
    </w:p>
    <w:p>
      <w:pPr>
        <w:jc w:val="both"/>
        <w:ind w:left="4" w:firstLine="644"/>
        <w:spacing w:after="0" w:line="304" w:lineRule="auto"/>
        <w:tabs>
          <w:tab w:leader="none" w:pos="137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knowledge of any Responsible Officer, threatened concerning or involving (i) any employee welfare benefit plan (as defined in Section 3(1) of ERISA) currently maintained or contributed to by any Credit Party or any ERISA Affiliate, (ii) any Pension Plan or (iii) any Multiemployer Plan.</w:t>
      </w:r>
    </w:p>
    <w:p>
      <w:pPr>
        <w:spacing w:after="0" w:line="188" w:lineRule="exact"/>
        <w:rPr>
          <w:rFonts w:ascii="Arial" w:cs="Arial" w:eastAsia="Arial" w:hAnsi="Arial"/>
          <w:sz w:val="18"/>
          <w:szCs w:val="18"/>
          <w:color w:val="auto"/>
        </w:rPr>
      </w:pPr>
    </w:p>
    <w:p>
      <w:pPr>
        <w:jc w:val="both"/>
        <w:ind w:left="4" w:firstLine="644"/>
        <w:spacing w:after="0" w:line="311" w:lineRule="auto"/>
        <w:tabs>
          <w:tab w:leader="none" w:pos="140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sectPr>
          <w:pgSz w:w="11900" w:h="16838" w:orient="portrait"/>
          <w:cols w:equalWidth="0" w:num="1">
            <w:col w:w="11304"/>
          </w:cols>
          <w:pgMar w:left="356" w:top="611" w:right="239" w:bottom="1440" w:gutter="0" w:footer="0" w:header="0"/>
        </w:sectPr>
      </w:pPr>
    </w:p>
    <w:p>
      <w:pPr>
        <w:spacing w:after="0" w:line="181" w:lineRule="exact"/>
        <w:rPr>
          <w:sz w:val="20"/>
          <w:szCs w:val="20"/>
          <w:color w:val="auto"/>
        </w:rPr>
      </w:pPr>
    </w:p>
    <w:p>
      <w:pPr>
        <w:jc w:val="center"/>
        <w:ind w:right="116"/>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04"/>
          </w:cols>
          <w:pgMar w:left="356" w:top="611" w:right="239" w:bottom="1440" w:gutter="0" w:footer="0" w:header="0"/>
          <w:type w:val="continuous"/>
        </w:sectPr>
      </w:pPr>
    </w:p>
    <w:bookmarkStart w:id="134" w:name="page135"/>
    <w:bookmarkEnd w:id="134"/>
    <w:p>
      <w:pPr>
        <w:jc w:val="both"/>
        <w:ind w:firstLine="648"/>
        <w:spacing w:after="0" w:line="271"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Margin Stock.</w:t>
      </w:r>
      <w:r>
        <w:rPr>
          <w:rFonts w:ascii="Arial" w:cs="Arial" w:eastAsia="Arial" w:hAnsi="Arial"/>
          <w:sz w:val="17"/>
          <w:szCs w:val="17"/>
          <w:color w:val="auto"/>
        </w:rPr>
        <w:t xml:space="preserve"> 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the Borrower only or of Holdings and its Subsidiaries on a Consolidated basis) subject to the provisions of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or subject to any restriction contained in any agreement or instrument between the Borrower and any Lender or any Affiliate of any Lender relating to Indebtedness in excess of the Threshold Amount will be “margin stock”.</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xml:space="preserve"> No Credit Party nor any Subsidiary thereof is an “investment company” or a company “controlled” by an “investment company” (as each such term is defined or used in the Investment Company Act of 1940)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Material Contracts. Schedule 5</w:t>
      </w:r>
      <w:r>
        <w:rPr>
          <w:rFonts w:ascii="Arial" w:cs="Arial" w:eastAsia="Arial" w:hAnsi="Arial"/>
          <w:sz w:val="17"/>
          <w:szCs w:val="17"/>
          <w:color w:val="auto"/>
        </w:rPr>
        <w:t xml:space="preserve"> to the Disclosure Letter sets forth a complete and accurate list of all Material Contracts of each Credit Party and each Subsidiary thereof in effect as of the Closing Date. Other than as set forth in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to the Disclosure Letter, as of the Closing Date, each such Material Contract is, and after giving effect to the consummation of the transactions contemplated by the Loan Documents will be, in full force and effect in accordance with the terms thereof. To the extent requested by the Administrative Agent, each Credit Party and each Subsidiary thereof has delivered to the Administrative Agent a true and complete copy of each Material Contract listed on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to the Disclosure Letter. As of the Closing Date, no Credit Party nor any Subsidiary thereof (nor, to the knowledge of any Responsible Officer, any other party thereto) is in breach of or in default (beyond any applicable grace or notice periods) under any Material Contract in any material respect.</w:t>
      </w: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Employee Relations.</w:t>
      </w:r>
      <w:r>
        <w:rPr>
          <w:rFonts w:ascii="Arial" w:cs="Arial" w:eastAsia="Arial" w:hAnsi="Arial"/>
          <w:sz w:val="17"/>
          <w:szCs w:val="17"/>
          <w:color w:val="auto"/>
        </w:rPr>
        <w:t xml:space="preserve"> As of the Closing Date, no Credit Party or any Subsidiary thereof is party to any collective bargaining agreement, nor has any labor union been recognized as the representative of its employees except as set forth on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to the Disclosure Letter. No Responsible Officer knows of any pending, threatened or contemplated strikes, work stoppage or other collective labor disputes involving its employees or those of its Subsidiaries that, individually or in the aggregate, could reasonably be expected to have a Material Adverse Effect.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Burdensome Provisions.</w:t>
      </w:r>
      <w:r>
        <w:rPr>
          <w:rFonts w:ascii="Arial" w:cs="Arial" w:eastAsia="Arial" w:hAnsi="Arial"/>
          <w:sz w:val="18"/>
          <w:szCs w:val="18"/>
          <w:color w:val="auto"/>
        </w:rPr>
        <w:t xml:space="preserve"> No Subsidiary is party to any agreement or instrument or otherwise subject to any restriction or encumbrance that restricts or limits its ability to make dividend payments or other distributions in respect of its Equity Interests to the Borrower or any Subsidiary or to transfer any of its assets or properties to the Borrower or any other Subsidiary in each case other than existing under or by reason of (i) the Loan Documents, (ii) Applicable Law or (iii) with respect to the sale of any assets or of the equity of any Credit Party or its Subsidiary otherwise permitted under this Agreement, by reason of the sale agreement governing the conduct of the respective parties to such sale prior to the closing thereof (so long as the restrictions are limited to the assets or equity subject to such sale).</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audited and unaudited financial statements delivered pursuant to </w:t>
      </w:r>
      <w:r>
        <w:rPr>
          <w:rFonts w:ascii="Arial" w:cs="Arial" w:eastAsia="Arial" w:hAnsi="Arial"/>
          <w:sz w:val="16"/>
          <w:szCs w:val="16"/>
          <w:u w:val="single" w:color="auto"/>
          <w:color w:val="auto"/>
        </w:rPr>
        <w:t>Section 6.1(f)(i)</w:t>
      </w:r>
      <w:r>
        <w:rPr>
          <w:rFonts w:ascii="Arial" w:cs="Arial" w:eastAsia="Arial" w:hAnsi="Arial"/>
          <w:sz w:val="16"/>
          <w:szCs w:val="16"/>
          <w:color w:val="auto"/>
        </w:rPr>
        <w:t xml:space="preserve"> are complete and correct and fairly present in all material respects on a Consolidated basis the assets, liabilities and financial position of Holdings and its Subsidiaries as at such dates, and the results of the operations and changes of financial position for the periods then ended (other than customary year-end adjustments for unaudited financial statements and the absence of footnotes from unaudited financial statements). All such financial statements, including the related schedules and notes thereto, have been prepared in accordance with GAAP. Such financial statements show all material indebtedness and other material liabilities, direct or contingent, of Holdings and its Subsidiaries as of the date thereof (but do not reflect the Holdings JAX Guaranty Obligations), including material liabilities for taxes, material commitments, and Indebtedness, in each case, to the extent required to be disclosed under GAAP.</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xml:space="preserve"> Since December 29, 2013, there has been no material adverse change in the properties, business, operations, or financial condition of Holdings and its Subsidiaries and since such date, no event has occurred or condition arisen, either individually or in the aggregate, that could reasonably be expected to have a Material Adverse Effect.</w:t>
      </w:r>
    </w:p>
    <w:p>
      <w:pPr>
        <w:spacing w:after="0" w:line="18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7.17</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The Credit Parties, on a Consolidated basis, are Solvent.</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00"/>
          </w:cols>
          <w:pgMar w:left="360" w:top="800" w:right="239" w:bottom="1440" w:gutter="0" w:footer="0" w:header="0"/>
        </w:sectPr>
      </w:pPr>
    </w:p>
    <w:bookmarkStart w:id="135" w:name="page136"/>
    <w:bookmarkEnd w:id="135"/>
    <w:p>
      <w:pPr>
        <w:jc w:val="both"/>
        <w:ind w:left="4" w:firstLine="648"/>
        <w:spacing w:after="0" w:line="25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xml:space="preserve"> As of the Closing Date, the real property listed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to the Disclosure Letter constitutes all of the real property that is owned by any Credit Party or any of its Subsidiaries. Each Credit Party and each Subsidiary thereof has such title to the real property owned by it, and such occupancy rights to the real property leased by it as is necessary or desirable to the conduct of its business and valid and legal title to all of its personal property and assets, except those which have been disposed of by the Credit Parties and their Subsidiaries which dispositions have been in the ordinary course of business or as otherwise expressly permitted hereunder.</w:t>
      </w:r>
    </w:p>
    <w:p>
      <w:pPr>
        <w:spacing w:after="0" w:line="188" w:lineRule="exact"/>
        <w:rPr>
          <w:sz w:val="20"/>
          <w:szCs w:val="20"/>
          <w:color w:val="auto"/>
        </w:rPr>
      </w:pPr>
    </w:p>
    <w:p>
      <w:pPr>
        <w:jc w:val="both"/>
        <w:ind w:left="4" w:firstLine="648"/>
        <w:spacing w:after="0" w:line="302" w:lineRule="auto"/>
        <w:rPr>
          <w:sz w:val="20"/>
          <w:szCs w:val="20"/>
          <w:color w:val="auto"/>
        </w:rPr>
      </w:pPr>
      <w:r>
        <w:rPr>
          <w:rFonts w:ascii="Arial" w:cs="Arial" w:eastAsia="Arial" w:hAnsi="Arial"/>
          <w:sz w:val="16"/>
          <w:szCs w:val="16"/>
          <w:color w:val="auto"/>
        </w:rPr>
        <w:t xml:space="preserve">SECTION 7.19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There are no actions, suits or proceedings pending nor, to the knowledge of any Responsible Officer, threatened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 All material actions, suits or proceedings pending, to the knowledge of any Responsible Officer, threatened against or in any other way relating adversely to or</w:t>
      </w:r>
    </w:p>
    <w:p>
      <w:pPr>
        <w:spacing w:after="0" w:line="6"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 xml:space="preserve">affecting any Credit Party or any Subsidiary thereof or any of their respective properties in any court or before any arbitrator of any kind or before or by any Governmental Authority are set forth on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to the Disclosure Letter.</w:t>
      </w:r>
    </w:p>
    <w:p>
      <w:pPr>
        <w:spacing w:after="0" w:line="170" w:lineRule="exact"/>
        <w:rPr>
          <w:sz w:val="20"/>
          <w:szCs w:val="20"/>
          <w:color w:val="auto"/>
        </w:rPr>
      </w:pPr>
    </w:p>
    <w:p>
      <w:pPr>
        <w:jc w:val="both"/>
        <w:ind w:left="4" w:firstLine="648"/>
        <w:spacing w:after="0" w:line="260" w:lineRule="auto"/>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u w:val="single" w:color="auto"/>
          <w:color w:val="auto"/>
        </w:rPr>
        <w:t>Anti-Terrorism; Anti-Money Laundering</w:t>
      </w:r>
      <w:r>
        <w:rPr>
          <w:rFonts w:ascii="Arial" w:cs="Arial" w:eastAsia="Arial" w:hAnsi="Arial"/>
          <w:sz w:val="18"/>
          <w:szCs w:val="18"/>
          <w:color w:val="auto"/>
        </w:rPr>
        <w:t>. No Credit Party nor any of its Subsidiaries or, to the knowledge of any Responsible Officer, any of their Related Parties (i) is an “enemy” or an “ally of the enemy” within the meaning of Section 2 of the Trading with the Enemy Act of the United States (50 U.S.C. App. §§ 1 et seq.), (ii) is in violation of (A) the Trading with the Enemy Act,</w:t>
      </w:r>
    </w:p>
    <w:p>
      <w:pPr>
        <w:spacing w:after="0" w:line="3" w:lineRule="exact"/>
        <w:rPr>
          <w:sz w:val="20"/>
          <w:szCs w:val="20"/>
          <w:color w:val="auto"/>
        </w:rPr>
      </w:pPr>
    </w:p>
    <w:p>
      <w:pPr>
        <w:jc w:val="both"/>
        <w:ind w:left="4" w:hanging="4"/>
        <w:spacing w:after="0" w:line="325" w:lineRule="auto"/>
        <w:tabs>
          <w:tab w:leader="none" w:pos="78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of the foreign assets control regulations of the United States Treasury Department (31 CFR, Subtitle B, Chapter V) or any enabling legislation or executive order relating thereto or (C) the PATRIOT Act (collectively, the “</w:t>
      </w:r>
      <w:r>
        <w:rPr>
          <w:rFonts w:ascii="Arial" w:cs="Arial" w:eastAsia="Arial" w:hAnsi="Arial"/>
          <w:sz w:val="17"/>
          <w:szCs w:val="17"/>
          <w:u w:val="single" w:color="auto"/>
          <w:color w:val="auto"/>
        </w:rPr>
        <w:t>Anti-Terrorism Laws”</w:t>
      </w:r>
      <w:r>
        <w:rPr>
          <w:rFonts w:ascii="Arial" w:cs="Arial" w:eastAsia="Arial" w:hAnsi="Arial"/>
          <w:sz w:val="17"/>
          <w:szCs w:val="17"/>
          <w:color w:val="auto"/>
        </w:rPr>
        <w:t>) or (iii) is a Sanctioned Person. No part of the proceeds of any Extension of Credit hereunder will be unlawfully used directly or indirectly to fund any operations in, finance any investments or activities in or make any payments to, a Sanctioned Person or a Sanctioned Country, or in any other manner that will result in any violation by any Person (including any Lender, the Arranger, the Administrative Agent, any Issuing Lender or the Swingline Lender) of any Anti-Terrorism Laws.</w:t>
      </w:r>
    </w:p>
    <w:p>
      <w:pPr>
        <w:spacing w:after="0" w:line="149"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Absence of Defaults.</w:t>
      </w:r>
      <w:r>
        <w:rPr>
          <w:rFonts w:ascii="Arial" w:cs="Arial" w:eastAsia="Arial" w:hAnsi="Arial"/>
          <w:sz w:val="18"/>
          <w:szCs w:val="18"/>
          <w:color w:val="auto"/>
        </w:rPr>
        <w:t xml:space="preserve"> No event has occurred or is continuing (a) which constitutes a Default or an Event of Default, or (b) which constitutes a default or event of default by any Credit Party or any Subsidiary thereof under (i) any Material Contract (after the expiration of any applicable grace or notice periods) or (ii)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(ii), could, either individually or in the aggregate, reasonably be expected to have a Material Adverse Effect.</w:t>
      </w:r>
    </w:p>
    <w:p>
      <w:pPr>
        <w:spacing w:after="0" w:line="193"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 xml:space="preserve">SECTION 7.22 </w:t>
      </w:r>
      <w:r>
        <w:rPr>
          <w:rFonts w:ascii="Arial" w:cs="Arial" w:eastAsia="Arial" w:hAnsi="Arial"/>
          <w:sz w:val="18"/>
          <w:szCs w:val="18"/>
          <w:u w:val="single" w:color="auto"/>
          <w:color w:val="auto"/>
        </w:rPr>
        <w:t>Senior Indebtedness Status</w:t>
      </w:r>
      <w:r>
        <w:rPr>
          <w:rFonts w:ascii="Arial" w:cs="Arial" w:eastAsia="Arial" w:hAnsi="Arial"/>
          <w:sz w:val="18"/>
          <w:szCs w:val="18"/>
          <w:color w:val="auto"/>
        </w:rPr>
        <w:t>. The Obligations of each Credit Party and each Subsidiary thereof under this Agreement and each of the other Loan Documents ranks and shall continue to rank at least senior in priority of payment to all Subordinated Indebtedness and all senior unsecured Indebtedness of each such Person and is designated as “Senior Indebtedness” under all instruments and documents, now or in the future, relating to all Subordinated Indebtedness and all senior unsecured Indebtedness of such Person.</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 xml:space="preserve">SECTION 7.23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Holdings and/or its Subsidiaries have disclosed to the Administrative Agent and the Lenders all agreements, instruments and corporate or other restrictions to which any Credit Party and any Subsidiary thereof are subject, and all other matters known to any Responsible Officer, that, individually or in the aggregate, could reasonably be expected to result in a Material Adverse Effect. No financial statement, material report, material certificate or other material information furnished in writing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as of the time when made or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subject to significant uncertainties and contingencies, many of which are beyond the control of the Credit</w:t>
      </w:r>
    </w:p>
    <w:p>
      <w:pPr>
        <w:spacing w:after="0" w:line="44"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Parties and their Subsidiaries, and are not to be viewed as facts and that the actual results during the period or periods covered by such projections may vary materially from such projections).</w:t>
      </w:r>
    </w:p>
    <w:p>
      <w:pPr>
        <w:spacing w:after="0" w:line="170"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Flood Hazard Insurance.</w:t>
      </w:r>
      <w:r>
        <w:rPr>
          <w:rFonts w:ascii="Arial" w:cs="Arial" w:eastAsia="Arial" w:hAnsi="Arial"/>
          <w:sz w:val="18"/>
          <w:szCs w:val="18"/>
          <w:color w:val="auto"/>
        </w:rPr>
        <w:t xml:space="preserve"> With respect to each parcel of real property subject to a Mortgage, the Administrative Agent has received (a) such flood hazard certifications, notices and confirmations thereof, and effective flood</w:t>
      </w:r>
    </w:p>
    <w:p>
      <w:pPr>
        <w:spacing w:after="0" w:line="19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4"/>
          </w:cols>
          <w:pgMar w:left="356" w:top="638" w:right="239" w:bottom="1440" w:gutter="0" w:footer="0" w:header="0"/>
        </w:sectPr>
      </w:pPr>
    </w:p>
    <w:bookmarkStart w:id="136" w:name="page137"/>
    <w:bookmarkEnd w:id="136"/>
    <w:p>
      <w:pPr>
        <w:jc w:val="both"/>
        <w:ind w:left="4"/>
        <w:spacing w:after="0" w:line="259" w:lineRule="auto"/>
        <w:rPr>
          <w:sz w:val="20"/>
          <w:szCs w:val="20"/>
          <w:color w:val="auto"/>
        </w:rPr>
      </w:pPr>
      <w:r>
        <w:rPr>
          <w:rFonts w:ascii="Arial" w:cs="Arial" w:eastAsia="Arial" w:hAnsi="Arial"/>
          <w:sz w:val="18"/>
          <w:szCs w:val="18"/>
          <w:color w:val="auto"/>
        </w:rPr>
        <w:t xml:space="preserve">hazard insurance policies as are described in </w:t>
      </w:r>
      <w:r>
        <w:rPr>
          <w:rFonts w:ascii="Arial" w:cs="Arial" w:eastAsia="Arial" w:hAnsi="Arial"/>
          <w:sz w:val="18"/>
          <w:szCs w:val="18"/>
          <w:u w:val="single" w:color="auto"/>
          <w:color w:val="auto"/>
        </w:rPr>
        <w:t>Section 6.1(d)(iii)</w:t>
      </w:r>
      <w:r>
        <w:rPr>
          <w:rFonts w:ascii="Arial" w:cs="Arial" w:eastAsia="Arial" w:hAnsi="Arial"/>
          <w:sz w:val="18"/>
          <w:szCs w:val="18"/>
          <w:color w:val="auto"/>
        </w:rPr>
        <w:t xml:space="preserve"> with respect to real property collateral on the Closing Date, (b) all flood hazard insurance policies required hereunder have been obtained and remain in full force and effect, and the premiums thereon have been paid in full, and (c) except as the Borrower has previously given written notice thereof to the Administrative Agent, there has been no redesignation of any real property into or out of a special flood hazard area.</w:t>
      </w:r>
    </w:p>
    <w:p>
      <w:pPr>
        <w:spacing w:after="0" w:line="18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all Letters of Credit have been terminated or expired (or been Cash Collateralized) and the Commitments terminated, each Credit Party will, and will cause each of its Subsidiaries to:</w:t>
      </w:r>
    </w:p>
    <w:p>
      <w:pPr>
        <w:spacing w:after="0" w:line="181" w:lineRule="exact"/>
        <w:rPr>
          <w:sz w:val="20"/>
          <w:szCs w:val="20"/>
          <w:color w:val="auto"/>
        </w:rPr>
      </w:pPr>
    </w:p>
    <w:p>
      <w:pPr>
        <w:jc w:val="both"/>
        <w:ind w:left="4" w:firstLine="621"/>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Financial Statements and Budgets.</w:t>
      </w:r>
      <w:r>
        <w:rPr>
          <w:rFonts w:ascii="Arial" w:cs="Arial" w:eastAsia="Arial" w:hAnsi="Arial"/>
          <w:sz w:val="18"/>
          <w:szCs w:val="18"/>
          <w:color w:val="auto"/>
        </w:rPr>
        <w:t xml:space="preserve"> Deliver to the Administrative Agent, in form and detail satisfactory to the Administrative Agent (which shall promptly make such information available to the Lenders in accordance with its customary practice):</w:t>
      </w:r>
    </w:p>
    <w:p>
      <w:pPr>
        <w:spacing w:after="0" w:line="197" w:lineRule="exact"/>
        <w:rPr>
          <w:sz w:val="20"/>
          <w:szCs w:val="20"/>
          <w:color w:val="auto"/>
        </w:rPr>
      </w:pPr>
    </w:p>
    <w:p>
      <w:pPr>
        <w:jc w:val="both"/>
        <w:ind w:left="4" w:firstLine="644"/>
        <w:spacing w:after="0" w:line="319" w:lineRule="auto"/>
        <w:tabs>
          <w:tab w:leader="none" w:pos="1392"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xml:space="preserve"> As soon as practicable and in any event within ninety (90) days (or, if earlier, on the date of any required public filing thereof) after the end of each Fiscal Year (commencing with the Fiscal Year ended December 28, 2014), an audited Consolidated balance sheet of Holdings and its Subsidiaries as of the close of such Fiscal Year and audited Consolidated statements of income, retained earnings and cash flows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Holdings or any of its Subsidiaries not in accordance with GAAP.</w:t>
      </w:r>
    </w:p>
    <w:p>
      <w:pPr>
        <w:spacing w:after="0" w:line="156" w:lineRule="exact"/>
        <w:rPr>
          <w:rFonts w:ascii="Arial" w:cs="Arial" w:eastAsia="Arial" w:hAnsi="Arial"/>
          <w:sz w:val="17"/>
          <w:szCs w:val="17"/>
          <w:color w:val="auto"/>
        </w:rPr>
      </w:pPr>
    </w:p>
    <w:p>
      <w:pPr>
        <w:ind w:left="1304" w:hanging="656"/>
        <w:spacing w:after="0"/>
        <w:tabs>
          <w:tab w:leader="none" w:pos="1304"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xml:space="preserve"> As soon as practicable and in any event within forty-five</w:t>
      </w:r>
    </w:p>
    <w:p>
      <w:pPr>
        <w:spacing w:after="0" w:line="23" w:lineRule="exact"/>
        <w:rPr>
          <w:rFonts w:ascii="Arial" w:cs="Arial" w:eastAsia="Arial" w:hAnsi="Arial"/>
          <w:sz w:val="18"/>
          <w:szCs w:val="18"/>
          <w:color w:val="auto"/>
        </w:rPr>
      </w:pPr>
    </w:p>
    <w:p>
      <w:pPr>
        <w:jc w:val="both"/>
        <w:ind w:left="4" w:hanging="4"/>
        <w:spacing w:after="0" w:line="269" w:lineRule="auto"/>
        <w:tabs>
          <w:tab w:leader="none" w:pos="35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days (or, if earlier, on the date of any required public filing thereof) after the end of the first three fiscal quarters of each Fiscal Year (commencing with the fiscal quarter ended September 7, 2014), an unaudited Consolidated balance sheet of Holdings and its Subsidiaries as of the close of such fiscal quarter and unaudited Consolidated statements of income, retained earnings and cash flows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Holdings in accordance with GAAP and, if applicable, containing disclosure of the effect on the financial position or results of operations of any change in the application of accounting principles and practices during the period, and certified by the</w:t>
      </w:r>
    </w:p>
    <w:p>
      <w:pPr>
        <w:spacing w:after="0" w:line="248"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8"/>
          <w:szCs w:val="18"/>
          <w:color w:val="auto"/>
        </w:rPr>
        <w:t>chief financial officer of Holdings to present fairly in all material respects the financial condition of Holdings and its Subsidiaries on a Consolidated basis as of their respective dates and the results of operations of Holdings and its Subsidiaries for the respective periods then ended, subject to normal year- end adjustments and the absence of footnotes.</w:t>
      </w:r>
    </w:p>
    <w:p>
      <w:pPr>
        <w:spacing w:after="0" w:line="222" w:lineRule="exact"/>
        <w:rPr>
          <w:sz w:val="20"/>
          <w:szCs w:val="20"/>
          <w:color w:val="auto"/>
        </w:rPr>
      </w:pPr>
    </w:p>
    <w:p>
      <w:pPr>
        <w:jc w:val="both"/>
        <w:ind w:left="4" w:firstLine="644"/>
        <w:spacing w:after="0" w:line="344" w:lineRule="auto"/>
        <w:tabs>
          <w:tab w:leader="none" w:pos="1392"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Annual Business Plan and Budget.</w:t>
      </w:r>
      <w:r>
        <w:rPr>
          <w:rFonts w:ascii="Arial" w:cs="Arial" w:eastAsia="Arial" w:hAnsi="Arial"/>
          <w:sz w:val="16"/>
          <w:szCs w:val="16"/>
          <w:color w:val="auto"/>
        </w:rPr>
        <w:t xml:space="preserve"> As soon as practicable and in any event within forty- five (45) days after the end of each Fiscal Year, a business plan and operating and capital budget of Holdings and its Subsidiaries for the ensuing four (4) fiscal quarters, such plan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a report containing management’s discussion and analysis of such budget with a reasonable disclosure of the key assumptions and drivers with respect to such budget, accompanied by a certificate from a Responsible Officer to the effect that such budget contains good faith estimates (utilizing assumptions believed to be reasonable at the time of delivery of such budget) of the financial condition and operations of Holdings and its Subsidiaries for such period.</w:t>
      </w:r>
    </w:p>
    <w:p>
      <w:pPr>
        <w:spacing w:after="0" w:line="139" w:lineRule="exact"/>
        <w:rPr>
          <w:sz w:val="20"/>
          <w:szCs w:val="20"/>
          <w:color w:val="auto"/>
        </w:rPr>
      </w:pPr>
    </w:p>
    <w:p>
      <w:pPr>
        <w:ind w:left="644"/>
        <w:spacing w:after="0"/>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Certificates; Other Reports.</w:t>
      </w:r>
      <w:r>
        <w:rPr>
          <w:rFonts w:ascii="Arial" w:cs="Arial" w:eastAsia="Arial" w:hAnsi="Arial"/>
          <w:sz w:val="17"/>
          <w:szCs w:val="17"/>
          <w:color w:val="auto"/>
        </w:rPr>
        <w:t xml:space="preserve"> Deliver to the Administrative Agent (which shall promptly make such information available to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Lenders in accordance with its customary practice):</w:t>
      </w:r>
    </w:p>
    <w:p>
      <w:pPr>
        <w:spacing w:after="0" w:line="200" w:lineRule="exact"/>
        <w:rPr>
          <w:sz w:val="20"/>
          <w:szCs w:val="20"/>
          <w:color w:val="auto"/>
        </w:rPr>
      </w:pPr>
    </w:p>
    <w:p>
      <w:pPr>
        <w:spacing w:after="0" w:line="25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4"/>
          </w:cols>
          <w:pgMar w:left="356" w:top="584" w:right="239" w:bottom="1440" w:gutter="0" w:footer="0" w:header="0"/>
        </w:sectPr>
      </w:pPr>
    </w:p>
    <w:bookmarkStart w:id="137" w:name="page138"/>
    <w:bookmarkEnd w:id="137"/>
    <w:p>
      <w:pPr>
        <w:jc w:val="both"/>
        <w:ind w:firstLine="644"/>
        <w:spacing w:after="0" w:line="336" w:lineRule="auto"/>
        <w:tabs>
          <w:tab w:leader="none" w:pos="138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at each time financial statements are delivered pursuant to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at such other times as the Administrative Agent shall reasonably request, a duly completed Officer’s Compliance Certificate signed by the chief executive officer, chief financial officer, treasurer or controller of the Borrower and a report containing management’s discussion and analysis of such financial statements;</w:t>
      </w:r>
    </w:p>
    <w:p>
      <w:pPr>
        <w:spacing w:after="0" w:line="164" w:lineRule="exact"/>
        <w:rPr>
          <w:rFonts w:ascii="Arial" w:cs="Arial" w:eastAsia="Arial" w:hAnsi="Arial"/>
          <w:sz w:val="17"/>
          <w:szCs w:val="17"/>
          <w:color w:val="auto"/>
        </w:rPr>
      </w:pPr>
    </w:p>
    <w:p>
      <w:pPr>
        <w:jc w:val="both"/>
        <w:ind w:firstLine="644"/>
        <w:spacing w:after="0" w:line="311" w:lineRule="auto"/>
        <w:tabs>
          <w:tab w:leader="none" w:pos="139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94" w:lineRule="exact"/>
        <w:rPr>
          <w:rFonts w:ascii="Arial" w:cs="Arial" w:eastAsia="Arial" w:hAnsi="Arial"/>
          <w:sz w:val="18"/>
          <w:szCs w:val="18"/>
          <w:color w:val="auto"/>
        </w:rPr>
      </w:pPr>
    </w:p>
    <w:p>
      <w:pPr>
        <w:ind w:firstLine="644"/>
        <w:spacing w:after="0" w:line="324" w:lineRule="auto"/>
        <w:tabs>
          <w:tab w:leader="none" w:pos="138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statement or report furnished to any holder of Indebtedness of any Credit Party or any Subsidiary thereof in excess of the Threshold Amount pursuant to the terms of any indenture, loan or credit or similar agreement;</w:t>
      </w:r>
    </w:p>
    <w:p>
      <w:pPr>
        <w:spacing w:after="0" w:line="183" w:lineRule="exact"/>
        <w:rPr>
          <w:rFonts w:ascii="Arial" w:cs="Arial" w:eastAsia="Arial" w:hAnsi="Arial"/>
          <w:sz w:val="18"/>
          <w:szCs w:val="18"/>
          <w:color w:val="auto"/>
        </w:rPr>
      </w:pPr>
    </w:p>
    <w:p>
      <w:pPr>
        <w:jc w:val="both"/>
        <w:ind w:firstLine="644"/>
        <w:spacing w:after="0" w:line="364" w:lineRule="auto"/>
        <w:tabs>
          <w:tab w:leader="none" w:pos="139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promptly after the assertion or occurrence thereof, notice of any action or proceeding against or of any noncompliance by any Credit Party or any Subsidiary thereof with any Environmental Law that could (i) reasonably be expected to have a Material Adverse Effect or (ii) cause any Property described in the Mortgages to be subject to any restrictions on ownership, occupancy, use or transferability under any Environmental Law;</w:t>
      </w:r>
    </w:p>
    <w:p>
      <w:pPr>
        <w:spacing w:after="0" w:line="148" w:lineRule="exact"/>
        <w:rPr>
          <w:rFonts w:ascii="Arial" w:cs="Arial" w:eastAsia="Arial" w:hAnsi="Arial"/>
          <w:sz w:val="16"/>
          <w:szCs w:val="16"/>
          <w:color w:val="auto"/>
        </w:rPr>
      </w:pPr>
    </w:p>
    <w:p>
      <w:pPr>
        <w:jc w:val="both"/>
        <w:ind w:firstLine="644"/>
        <w:spacing w:after="0" w:line="306" w:lineRule="auto"/>
        <w:tabs>
          <w:tab w:leader="none" w:pos="138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after an IPO,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Exchange Act, or with any national securities exchange, and in any case not otherwise required to be delivered to the Administrative Agent pursuant hereto;</w:t>
      </w:r>
    </w:p>
    <w:p>
      <w:pPr>
        <w:spacing w:after="0" w:line="186" w:lineRule="exact"/>
        <w:rPr>
          <w:rFonts w:ascii="Arial" w:cs="Arial" w:eastAsia="Arial" w:hAnsi="Arial"/>
          <w:sz w:val="18"/>
          <w:szCs w:val="18"/>
          <w:color w:val="auto"/>
        </w:rPr>
      </w:pPr>
    </w:p>
    <w:p>
      <w:pPr>
        <w:jc w:val="both"/>
        <w:ind w:firstLine="644"/>
        <w:spacing w:after="0" w:line="306" w:lineRule="auto"/>
        <w:tabs>
          <w:tab w:leader="none" w:pos="13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after an IPO, promptly, and in any event within five (5) Business Days after receipt thereof by any Credit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Credit Party or any Subsidiary thereof;</w:t>
      </w:r>
    </w:p>
    <w:p>
      <w:pPr>
        <w:spacing w:after="0" w:line="186" w:lineRule="exact"/>
        <w:rPr>
          <w:rFonts w:ascii="Arial" w:cs="Arial" w:eastAsia="Arial" w:hAnsi="Arial"/>
          <w:sz w:val="18"/>
          <w:szCs w:val="18"/>
          <w:color w:val="auto"/>
        </w:rPr>
      </w:pPr>
    </w:p>
    <w:p>
      <w:pPr>
        <w:jc w:val="both"/>
        <w:ind w:right="20" w:firstLine="644"/>
        <w:spacing w:after="0" w:line="311" w:lineRule="auto"/>
        <w:tabs>
          <w:tab w:leader="none" w:pos="139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“know your customer” and anti-money laundering rules and regulations (including, without limitation, the PATRIOT Act), as from time to time reasonably requested by the Administrative Agent or any Lender; and</w:t>
      </w:r>
    </w:p>
    <w:p>
      <w:pPr>
        <w:spacing w:after="0" w:line="181" w:lineRule="exact"/>
        <w:rPr>
          <w:rFonts w:ascii="Arial" w:cs="Arial" w:eastAsia="Arial" w:hAnsi="Arial"/>
          <w:sz w:val="18"/>
          <w:szCs w:val="18"/>
          <w:color w:val="auto"/>
        </w:rPr>
      </w:pPr>
    </w:p>
    <w:p>
      <w:pPr>
        <w:ind w:firstLine="644"/>
        <w:spacing w:after="0" w:line="324" w:lineRule="auto"/>
        <w:tabs>
          <w:tab w:leader="none" w:pos="139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other information regarding the operations, business affairs and financial condition of any Credit Party or any Subsidiary thereof as the Administrative Agent or any Lender may reasonably request.</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8.2(f)</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facsimile or electronic mail) of the posting of any such documents and provide to the Administrative Agent by electronic mail electronic versions of such documents. Notwithstanding anything contained herein, in every instance the Borrower shall be required to provide paper copies of the Officer’s Compliance Certificates required by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to the Administrative Agent. Except for such Officer’s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Borrower hereby acknowledges that (a) the Administrative Agent and/or the Arranger will make available to the Lenders and the Issuing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Debt Domain, IntraLinks, SyndTrak Online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may be “public-side” Lenders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Lenders that do not wish to receive material non-public information with respect to the Borrower or its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The Borrower hereby agrees that so long as the Borrower is the issuer of any outstanding debt or equity securities that are registered or issued pursuant</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360" w:top="611" w:right="239" w:bottom="1440" w:gutter="0" w:footer="0" w:header="0"/>
        </w:sectPr>
      </w:pPr>
    </w:p>
    <w:bookmarkStart w:id="138" w:name="page139"/>
    <w:bookmarkEnd w:id="138"/>
    <w:p>
      <w:pPr>
        <w:jc w:val="both"/>
        <w:ind w:left="40"/>
        <w:spacing w:after="0" w:line="289" w:lineRule="auto"/>
        <w:rPr>
          <w:sz w:val="20"/>
          <w:szCs w:val="20"/>
          <w:color w:val="auto"/>
        </w:rPr>
      </w:pPr>
      <w:r>
        <w:rPr>
          <w:rFonts w:ascii="Arial" w:cs="Arial" w:eastAsia="Arial" w:hAnsi="Arial"/>
          <w:sz w:val="16"/>
          <w:szCs w:val="16"/>
          <w:color w:val="auto"/>
        </w:rPr>
        <w:t>to a private offering or is actively contemplating issuing any such securities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 the Issuing Lenders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12.10)</w:t>
      </w:r>
      <w:r>
        <w:rPr>
          <w:rFonts w:ascii="Arial" w:cs="Arial" w:eastAsia="Arial" w:hAnsi="Arial"/>
          <w:sz w:val="16"/>
          <w:szCs w:val="16"/>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Notice of Litigation and Other Matters.</w:t>
      </w:r>
      <w:r>
        <w:rPr>
          <w:rFonts w:ascii="Arial" w:cs="Arial" w:eastAsia="Arial" w:hAnsi="Arial"/>
          <w:sz w:val="18"/>
          <w:szCs w:val="18"/>
          <w:color w:val="auto"/>
        </w:rPr>
        <w:t xml:space="preserve"> Promptly (but in no event later than ten</w:t>
      </w:r>
    </w:p>
    <w:p>
      <w:pPr>
        <w:spacing w:after="0" w:line="36" w:lineRule="exact"/>
        <w:rPr>
          <w:sz w:val="20"/>
          <w:szCs w:val="20"/>
          <w:color w:val="auto"/>
        </w:rPr>
      </w:pPr>
    </w:p>
    <w:p>
      <w:pPr>
        <w:ind w:firstLine="9"/>
        <w:spacing w:after="0" w:line="324" w:lineRule="auto"/>
        <w:tabs>
          <w:tab w:leader="none" w:pos="76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days after any Responsible Officer obtains knowledge thereof) notify the Administrative Agent in writing of (which shall promptly make such information available to the Lenders in accordance with its customary practice):</w:t>
      </w:r>
    </w:p>
    <w:p>
      <w:pPr>
        <w:spacing w:after="0" w:line="170" w:lineRule="exact"/>
        <w:rPr>
          <w:rFonts w:ascii="Arial" w:cs="Arial" w:eastAsia="Arial" w:hAnsi="Arial"/>
          <w:sz w:val="18"/>
          <w:szCs w:val="18"/>
          <w:color w:val="auto"/>
        </w:rPr>
      </w:pPr>
    </w:p>
    <w:p>
      <w:pPr>
        <w:ind w:left="1420" w:hanging="763"/>
        <w:spacing w:after="0"/>
        <w:tabs>
          <w:tab w:leader="none" w:pos="1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65" w:lineRule="exact"/>
        <w:rPr>
          <w:rFonts w:ascii="Arial" w:cs="Arial" w:eastAsia="Arial" w:hAnsi="Arial"/>
          <w:sz w:val="18"/>
          <w:szCs w:val="18"/>
          <w:color w:val="auto"/>
        </w:rPr>
      </w:pPr>
    </w:p>
    <w:p>
      <w:pPr>
        <w:jc w:val="both"/>
        <w:ind w:firstLine="657"/>
        <w:spacing w:after="0" w:line="311" w:lineRule="auto"/>
        <w:tabs>
          <w:tab w:leader="none" w:pos="141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could reasonably be expected to result in a Material Adverse Effect;</w:t>
      </w:r>
    </w:p>
    <w:p>
      <w:pPr>
        <w:spacing w:after="0" w:line="181" w:lineRule="exact"/>
        <w:rPr>
          <w:rFonts w:ascii="Arial" w:cs="Arial" w:eastAsia="Arial" w:hAnsi="Arial"/>
          <w:sz w:val="18"/>
          <w:szCs w:val="18"/>
          <w:color w:val="auto"/>
        </w:rPr>
      </w:pPr>
    </w:p>
    <w:p>
      <w:pPr>
        <w:ind w:firstLine="657"/>
        <w:spacing w:after="0" w:line="395" w:lineRule="auto"/>
        <w:tabs>
          <w:tab w:leader="none" w:pos="140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23" w:lineRule="exact"/>
        <w:rPr>
          <w:rFonts w:ascii="Arial" w:cs="Arial" w:eastAsia="Arial" w:hAnsi="Arial"/>
          <w:sz w:val="16"/>
          <w:szCs w:val="16"/>
          <w:color w:val="auto"/>
        </w:rPr>
      </w:pPr>
    </w:p>
    <w:p>
      <w:pPr>
        <w:ind w:left="1420" w:hanging="763"/>
        <w:spacing w:after="0"/>
        <w:tabs>
          <w:tab w:leader="none" w:pos="142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any labor controversy that has resulted in, or threatens to result in, a strike or other work action against any Credit Party or any</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Subsidiary thereof;</w:t>
      </w:r>
    </w:p>
    <w:p>
      <w:pPr>
        <w:spacing w:after="0" w:line="279" w:lineRule="exact"/>
        <w:rPr>
          <w:rFonts w:ascii="Arial" w:cs="Arial" w:eastAsia="Arial" w:hAnsi="Arial"/>
          <w:sz w:val="17"/>
          <w:szCs w:val="17"/>
          <w:color w:val="auto"/>
        </w:rPr>
      </w:pPr>
    </w:p>
    <w:p>
      <w:pPr>
        <w:ind w:left="1420" w:hanging="763"/>
        <w:spacing w:after="0"/>
        <w:tabs>
          <w:tab w:leader="none" w:pos="142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any attachment, judgment, lien, levy or order exceeding the Threshold Amount that is assessed against any Credit Party or any Subsidiary</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65" w:lineRule="exact"/>
        <w:rPr>
          <w:rFonts w:ascii="Arial" w:cs="Arial" w:eastAsia="Arial" w:hAnsi="Arial"/>
          <w:sz w:val="16"/>
          <w:szCs w:val="16"/>
          <w:color w:val="auto"/>
        </w:rPr>
      </w:pPr>
    </w:p>
    <w:p>
      <w:pPr>
        <w:jc w:val="both"/>
        <w:ind w:firstLine="657"/>
        <w:spacing w:after="0" w:line="311" w:lineRule="auto"/>
        <w:tabs>
          <w:tab w:leader="none" w:pos="138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event which constitutes or which with the passage of time or giving of notice or both would constitute a default or event of default under any Material Contract to which the Borrower or any of its Subsidiaries is a party or by which the Borrower or any Subsidiary thereof or any of their respective properties may be bound which could reasonably be expected to have a Material Adverse Effect; and</w:t>
      </w:r>
    </w:p>
    <w:p>
      <w:pPr>
        <w:spacing w:after="0" w:line="181" w:lineRule="exact"/>
        <w:rPr>
          <w:rFonts w:ascii="Arial" w:cs="Arial" w:eastAsia="Arial" w:hAnsi="Arial"/>
          <w:sz w:val="18"/>
          <w:szCs w:val="18"/>
          <w:color w:val="auto"/>
        </w:rPr>
      </w:pPr>
    </w:p>
    <w:p>
      <w:pPr>
        <w:jc w:val="both"/>
        <w:ind w:firstLine="657"/>
        <w:spacing w:after="0" w:line="302" w:lineRule="auto"/>
        <w:tabs>
          <w:tab w:leader="none" w:pos="141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any Responsible Officer obtaining knowledge that any Credit Party or any ERISA Affiliate has filed or intends to file a notice of intent to terminate any Pension Plan under a distress termination within the meaning of Section 4041(c) of ERISA.</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accompanied by a statement of a Responsible Officer setting forth details of the occurrence referred to therein and stating what action the Borrower has taken and proposes to take with respect thereto. Each notice pursuant to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Preservation of Corporate Existence and Related Matters.</w:t>
      </w:r>
      <w:r>
        <w:rPr>
          <w:rFonts w:ascii="Arial" w:cs="Arial" w:eastAsia="Arial" w:hAnsi="Arial"/>
          <w:sz w:val="18"/>
          <w:szCs w:val="18"/>
          <w:color w:val="auto"/>
        </w:rPr>
        <w:t xml:space="preserve"> Except as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preserve and maintain its separate corporate existence and all rights, franchises, licenses and privileges necessary to the conduct of its business, and qualify and remain qualified as a foreign corporation or other entity and authorized to do business in each jurisdiction in which the failure to so qualify could reasonably be expected to have a Material Adverse Effect.</w:t>
      </w:r>
    </w:p>
    <w:p>
      <w:pPr>
        <w:spacing w:after="0" w:line="187" w:lineRule="exact"/>
        <w:rPr>
          <w:sz w:val="20"/>
          <w:szCs w:val="20"/>
          <w:color w:val="auto"/>
        </w:rPr>
      </w:pPr>
    </w:p>
    <w:p>
      <w:pPr>
        <w:ind w:left="680"/>
        <w:spacing w:after="0"/>
        <w:tabs>
          <w:tab w:leader="none" w:pos="188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Maintenance of Property and Licenses.</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320" w:top="584" w:right="239" w:bottom="1440" w:gutter="0" w:footer="0" w:header="0"/>
        </w:sectPr>
      </w:pPr>
    </w:p>
    <w:bookmarkStart w:id="139" w:name="page140"/>
    <w:bookmarkEnd w:id="139"/>
    <w:p>
      <w:pPr>
        <w:jc w:val="both"/>
        <w:ind w:firstLine="644"/>
        <w:spacing w:after="0" w:line="302" w:lineRule="auto"/>
        <w:tabs>
          <w:tab w:leader="none" w:pos="13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addition to the requirements of any of the Security Documents, 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would not reasonably be expected to result in a Material Adverse Effect.</w:t>
      </w:r>
    </w:p>
    <w:p>
      <w:pPr>
        <w:spacing w:after="0" w:line="192" w:lineRule="exact"/>
        <w:rPr>
          <w:rFonts w:ascii="Arial" w:cs="Arial" w:eastAsia="Arial" w:hAnsi="Arial"/>
          <w:sz w:val="18"/>
          <w:szCs w:val="18"/>
          <w:color w:val="auto"/>
        </w:rPr>
      </w:pPr>
    </w:p>
    <w:p>
      <w:pPr>
        <w:jc w:val="both"/>
        <w:ind w:firstLine="644"/>
        <w:spacing w:after="0" w:line="311" w:lineRule="auto"/>
        <w:tabs>
          <w:tab w:leader="none" w:pos="139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Maintain, in full force and effect in all material respects, each and every license, permit, certification, qualification, approval or franchise issued by any Governmental Authority (each a “</w:t>
      </w:r>
      <w:r>
        <w:rPr>
          <w:rFonts w:ascii="Arial" w:cs="Arial" w:eastAsia="Arial" w:hAnsi="Arial"/>
          <w:sz w:val="18"/>
          <w:szCs w:val="18"/>
          <w:u w:val="single" w:color="auto"/>
          <w:color w:val="auto"/>
        </w:rPr>
        <w:t>License”</w:t>
      </w:r>
      <w:r>
        <w:rPr>
          <w:rFonts w:ascii="Arial" w:cs="Arial" w:eastAsia="Arial" w:hAnsi="Arial"/>
          <w:sz w:val="18"/>
          <w:szCs w:val="18"/>
          <w:color w:val="auto"/>
        </w:rPr>
        <w:t>) required for each of them to conduct their respective businesses as presently conducted, except where the failure to do so could not reasonably be expected to have a Material Adverse Effect.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Maintain insurance with financially sound and reputable insurance companies against at least such risks and in at least such amounts as are customarily maintained by similar businesses and as may be required by Applicable Law and as are required by any Security Documents. All such insurance shall, (a) provide that no cancellation or material modification thereof shall be effective until at least 30 days after receipt by the Administrative Agent of written notice thereof, (b) name the Administrative Agent as an additional insured party thereunder and (c) in the case of each casualty insurance policy, name the Administrative Agent as lender’s loss payee.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 Without limiting the foregoing, the Borrower shall and shall cause each appropriate Credit Party to (i) maintain, if available, fully paid flood hazard insurance on all real property that is located in a special flood hazard area and that is subject to a Mortgage, on such terms and in such amounts as required by The National Flood Insurance Reform Act of 1994 or as otherwise required by the Administrative Agent, (ii) furnish to the Administrative Agent evidence of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Accounting Methods and Financial Records.</w:t>
      </w:r>
      <w:r>
        <w:rPr>
          <w:rFonts w:ascii="Arial" w:cs="Arial" w:eastAsia="Arial" w:hAnsi="Arial"/>
          <w:sz w:val="16"/>
          <w:szCs w:val="16"/>
          <w:color w:val="auto"/>
        </w:rPr>
        <w:t xml:space="preserve"> 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Payment of Taxes and Other Obligations</w:t>
      </w:r>
      <w:r>
        <w:rPr>
          <w:rFonts w:ascii="Arial" w:cs="Arial" w:eastAsia="Arial" w:hAnsi="Arial"/>
          <w:sz w:val="18"/>
          <w:szCs w:val="18"/>
          <w:color w:val="auto"/>
        </w:rPr>
        <w:t xml:space="preserve">. Pay and perform (a) all taxes, assessments and other governmental charges that may be levied or assessed upon it or any of its Property and (b) all other Indebtedness, obligations and liabilities in accordance with customary trade practices;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or such Subsidiary may contest any item described in this Section in good faith so long as adequate reserves are maintained with respect thereto in accordance with GAAP.</w:t>
      </w:r>
    </w:p>
    <w:p>
      <w:pPr>
        <w:spacing w:after="0" w:line="3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Compliance with Laws and Approvals.</w:t>
      </w:r>
      <w:r>
        <w:rPr>
          <w:rFonts w:ascii="Arial" w:cs="Arial" w:eastAsia="Arial" w:hAnsi="Arial"/>
          <w:sz w:val="18"/>
          <w:szCs w:val="18"/>
          <w:color w:val="auto"/>
        </w:rPr>
        <w:t xml:space="preserve"> Observe and remain in compliance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In addition to and without limiting the generality of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except to the extent that no Material Adverse Effect could reasonably be expected to result therefrom: (a) comply with, and use commercially reasonable efforts to ensure such compliance by all tenants and subtenants with all applicable Environmental Laws and obtain and comply with and maintain, and use commercially reasonable efforts to ensure that all tenants and subtenants, if any, obtain and comply with and maintain, any and all material licenses, approvals, notifications, registrations or permits required by applicable Environmental Laws,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Borrower or any such Subsidiary,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bad faith, gross negligence or willful misconduct</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360" w:top="611" w:right="239" w:bottom="1440" w:gutter="0" w:footer="0" w:header="0"/>
        </w:sectPr>
      </w:pPr>
    </w:p>
    <w:bookmarkStart w:id="140" w:name="page141"/>
    <w:bookmarkEnd w:id="140"/>
    <w:p>
      <w:pPr>
        <w:ind w:left="4"/>
        <w:spacing w:after="0"/>
        <w:rPr>
          <w:sz w:val="20"/>
          <w:szCs w:val="20"/>
          <w:color w:val="auto"/>
        </w:rPr>
      </w:pPr>
      <w:r>
        <w:rPr>
          <w:rFonts w:ascii="Arial" w:cs="Arial" w:eastAsia="Arial" w:hAnsi="Arial"/>
          <w:sz w:val="18"/>
          <w:szCs w:val="18"/>
          <w:color w:val="auto"/>
        </w:rPr>
        <w:t>of the party seeking indemnification therefor, as determined by a court of competent jurisdiction by final nonappealable judgment.</w:t>
      </w:r>
    </w:p>
    <w:p>
      <w:pPr>
        <w:spacing w:after="0" w:line="225"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Compliance with ERISA.</w:t>
      </w:r>
      <w:r>
        <w:rPr>
          <w:rFonts w:ascii="Arial" w:cs="Arial" w:eastAsia="Arial" w:hAnsi="Arial"/>
          <w:sz w:val="17"/>
          <w:szCs w:val="17"/>
          <w:color w:val="auto"/>
        </w:rPr>
        <w:t xml:space="preserve"> In addition to and without limiting the generality of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(ii) not take any action or fail to take action the result of which could reasonably be expected to result in a liability to the PBGC or to a Multiemployer Plan, (iii) not participate in any prohibited transaction that could result in any civil penalty under ERISA or tax under the Code and (iv) operate each Employee Benefit Plan in such a manner that will not incur any tax liability under Section 4980B of the Code or any liability to any qualified beneficiary as defined in Section 4980B of the Code and (b) furnish to the Administrative Agent upon the Administrative Agent’s request such additional information about any Employee Benefit Plan as may be reasonably requested by the Administrative Agent to confirm compliance with this Section.</w:t>
      </w:r>
    </w:p>
    <w:p>
      <w:pPr>
        <w:spacing w:after="0" w:line="179"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Visits and Inspections.</w:t>
      </w:r>
      <w:r>
        <w:rPr>
          <w:rFonts w:ascii="Arial" w:cs="Arial" w:eastAsia="Arial" w:hAnsi="Arial"/>
          <w:sz w:val="17"/>
          <w:szCs w:val="17"/>
          <w:color w:val="auto"/>
        </w:rPr>
        <w:t xml:space="preserve"> Permit representatives of the Administrative Agent or any Lender, from time to time upon prior reasonable notice and at such times during normal business hours, all at the expense of the Borrower (limited, except during the continuance of an Event of Default to the cost of a single visit and inspection by the Administrative Agent and all Lenders on a combined basis, per calendar year),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occurrence and during the continuance of an Event of Default, the Administrative Agent or any Lender may do any of the foregoing at the expense of the Borrower at any time without advance notice. Upon the request of the Administrative Agent or the Required Lenders, participate in a meeting of the Administrative Agent and</w:t>
      </w:r>
    </w:p>
    <w:p>
      <w:pPr>
        <w:spacing w:after="0" w:line="3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Lenders once during each Fiscal Year, which meeting will be held at the Borrower’s corporate offices (or such other location as may be agreed to by the Borrower and the Administrative Agent) at such time as may be agreed by the Borrower and the Administrative Agent.</w:t>
      </w:r>
    </w:p>
    <w:p>
      <w:pPr>
        <w:spacing w:after="0" w:line="170"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18"/>
          <w:szCs w:val="18"/>
          <w:color w:val="auto"/>
        </w:rPr>
        <w:t>SECTION 8.13</w:t>
      </w:r>
      <w:r>
        <w:rPr>
          <w:sz w:val="20"/>
          <w:szCs w:val="20"/>
          <w:color w:val="auto"/>
        </w:rPr>
        <w:tab/>
      </w:r>
      <w:r>
        <w:rPr>
          <w:rFonts w:ascii="Arial" w:cs="Arial" w:eastAsia="Arial" w:hAnsi="Arial"/>
          <w:sz w:val="16"/>
          <w:szCs w:val="16"/>
          <w:u w:val="single" w:color="auto"/>
          <w:color w:val="auto"/>
        </w:rPr>
        <w:t>Additional Subsidiaries and Real Property.</w:t>
      </w:r>
    </w:p>
    <w:p>
      <w:pPr>
        <w:spacing w:after="0" w:line="200" w:lineRule="exact"/>
        <w:rPr>
          <w:sz w:val="20"/>
          <w:szCs w:val="20"/>
          <w:color w:val="auto"/>
        </w:rPr>
      </w:pP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Within 30 days after the end of each Fiscal Quarter (as such time period may be extended by the Administrative Agent in its sole discretion):</w:t>
      </w:r>
    </w:p>
    <w:p>
      <w:pPr>
        <w:spacing w:after="0" w:line="252" w:lineRule="exact"/>
        <w:rPr>
          <w:sz w:val="20"/>
          <w:szCs w:val="20"/>
          <w:color w:val="auto"/>
        </w:rPr>
      </w:pPr>
    </w:p>
    <w:p>
      <w:pPr>
        <w:jc w:val="both"/>
        <w:ind w:left="4" w:firstLine="644"/>
        <w:spacing w:after="0" w:line="341" w:lineRule="auto"/>
        <w:tabs>
          <w:tab w:leader="none" w:pos="1392"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Additional Domestic Subsidiaries.</w:t>
      </w:r>
      <w:r>
        <w:rPr>
          <w:rFonts w:ascii="Arial" w:cs="Arial" w:eastAsia="Arial" w:hAnsi="Arial"/>
          <w:sz w:val="16"/>
          <w:szCs w:val="16"/>
          <w:color w:val="auto"/>
        </w:rPr>
        <w:t xml:space="preserve"> Cause any Material Domestic Subsidiary that has been created or acquired to (i) become a Subsidiary Guarantor by delivering to the Administrative Agent a duly executed supplement to the Subsidiary Guaranty Agreement or such other document as the Administrative Agent shall deem appropriate for such purpose, (ii) grant a security interest in all Collateral (subject to the exceptions specified in the Collateral Agreement) owned by such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(iii)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67" w:lineRule="exact"/>
        <w:rPr>
          <w:rFonts w:ascii="Arial" w:cs="Arial" w:eastAsia="Arial" w:hAnsi="Arial"/>
          <w:sz w:val="16"/>
          <w:szCs w:val="16"/>
          <w:color w:val="auto"/>
        </w:rPr>
      </w:pPr>
    </w:p>
    <w:p>
      <w:pPr>
        <w:jc w:val="both"/>
        <w:ind w:left="4" w:firstLine="644"/>
        <w:spacing w:after="0" w:line="334" w:lineRule="auto"/>
        <w:tabs>
          <w:tab w:leader="none" w:pos="1402"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Additional Foreign Subsidiaries.</w:t>
      </w:r>
      <w:r>
        <w:rPr>
          <w:rFonts w:ascii="Arial" w:cs="Arial" w:eastAsia="Arial" w:hAnsi="Arial"/>
          <w:sz w:val="16"/>
          <w:szCs w:val="16"/>
          <w:color w:val="auto"/>
        </w:rPr>
        <w:t xml:space="preserve"> Notify the Administrative Agent of any Person that becomes a First Tier Foreign Subsidiary and cause the applicable Credit Party to (i) deliver to the Administrative Agent Security Documents pledging sixty-five percent (65%) of the total outstanding voting Equity Interests (and one hundred percent (100%) of the non-voting Equity Interests) of any such new First Tier Foreign Subsidiary and a consent thereto executed by such new First Tier Foreign Subsidiary (including, without limitation, if applicable, original certificated Equity Interests (or the equivalent thereof pursuant to the Applicable Laws and practices of any relevant foreign jurisdiction) evidencing the Equity Interests of such new First Tier Foreign Subsidiary, together with an appropriate undated stock or other transfer power for each certificate duly executed in blank by the registered owner thereof),</w:t>
      </w:r>
    </w:p>
    <w:p>
      <w:pPr>
        <w:spacing w:after="0" w:line="3" w:lineRule="exact"/>
        <w:rPr>
          <w:rFonts w:ascii="Arial" w:cs="Arial" w:eastAsia="Arial" w:hAnsi="Arial"/>
          <w:sz w:val="16"/>
          <w:szCs w:val="16"/>
          <w:color w:val="auto"/>
        </w:rPr>
      </w:pPr>
    </w:p>
    <w:p>
      <w:pPr>
        <w:jc w:val="both"/>
        <w:ind w:left="4" w:hanging="4"/>
        <w:spacing w:after="0" w:line="329" w:lineRule="auto"/>
        <w:tabs>
          <w:tab w:leader="none" w:pos="27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such Person to deliver to the Administrative Agent such opinions, documents and certificates referred to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7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4"/>
          </w:cols>
          <w:pgMar w:left="356" w:top="584" w:right="239" w:bottom="1440" w:gutter="0" w:footer="0" w:header="0"/>
        </w:sectPr>
      </w:pPr>
    </w:p>
    <w:bookmarkStart w:id="141" w:name="page142"/>
    <w:bookmarkEnd w:id="141"/>
    <w:p>
      <w:pPr>
        <w:jc w:val="both"/>
        <w:ind w:firstLine="644"/>
        <w:spacing w:after="0" w:line="304" w:lineRule="auto"/>
        <w:tabs>
          <w:tab w:leader="none" w:pos="138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With respect to the acquisition of any owned real property with a fair market value in excess of $2,000,000 by any Credit Party that is not then subject to the existing Security Documents, (i) notify the Administrative Agent and (ii) deliver such mortgages, deeds of trust, title insurance policies, environmental reports, surveys and other documents reasonably requested by the Administrative Agent in connection with granting and perfecting a first priority Lien, other than Permitted Liens, on such real property in favor of the Administrative Agent, for the ratable benefit of the Secured Parties, all in form and substance acceptable to the Administrative Agent.</w:t>
      </w:r>
    </w:p>
    <w:p>
      <w:pPr>
        <w:spacing w:after="0" w:line="188" w:lineRule="exact"/>
        <w:rPr>
          <w:rFonts w:ascii="Arial" w:cs="Arial" w:eastAsia="Arial" w:hAnsi="Arial"/>
          <w:sz w:val="18"/>
          <w:szCs w:val="18"/>
          <w:color w:val="auto"/>
        </w:rPr>
      </w:pPr>
    </w:p>
    <w:p>
      <w:pPr>
        <w:jc w:val="both"/>
        <w:ind w:firstLine="644"/>
        <w:spacing w:after="0" w:line="302" w:lineRule="auto"/>
        <w:tabs>
          <w:tab w:leader="none" w:pos="139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Merger Subsidiaries.</w:t>
      </w:r>
      <w:r>
        <w:rPr>
          <w:rFonts w:ascii="Arial" w:cs="Arial" w:eastAsia="Arial" w:hAnsi="Arial"/>
          <w:sz w:val="18"/>
          <w:szCs w:val="18"/>
          <w:color w:val="auto"/>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(or as may be reasonably required in advance of) the closing of such merger transaction, such new Subsidiary shall not be required to take the actions set forth in </w:t>
      </w:r>
      <w:r>
        <w:rPr>
          <w:rFonts w:ascii="Arial" w:cs="Arial" w:eastAsia="Arial" w:hAnsi="Arial"/>
          <w:sz w:val="18"/>
          <w:szCs w:val="18"/>
          <w:u w:val="single" w:color="auto"/>
          <w:color w:val="auto"/>
        </w:rPr>
        <w:t>Section 8.13(a)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18"/>
          <w:szCs w:val="18"/>
          <w:u w:val="single" w:color="auto"/>
          <w:color w:val="auto"/>
        </w:rPr>
        <w:t>Section 8.13(a)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within thirty (30) days after the end of the calendar quarter in which the consummation of such Permitted Acquisition occurs, as such time period may be extended by the Administrative Agent in its sole discretion).</w:t>
      </w:r>
    </w:p>
    <w:p>
      <w:pPr>
        <w:spacing w:after="0" w:line="189" w:lineRule="exact"/>
        <w:rPr>
          <w:rFonts w:ascii="Arial" w:cs="Arial" w:eastAsia="Arial" w:hAnsi="Arial"/>
          <w:sz w:val="18"/>
          <w:szCs w:val="18"/>
          <w:color w:val="auto"/>
        </w:rPr>
      </w:pPr>
    </w:p>
    <w:p>
      <w:pPr>
        <w:jc w:val="both"/>
        <w:ind w:firstLine="644"/>
        <w:spacing w:after="0" w:line="311" w:lineRule="auto"/>
        <w:tabs>
          <w:tab w:leader="none" w:pos="138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shall not apply to assets as to which the Administrative Agent and the Borrower shall reasonably determine that the costs and burdens of obtaining a security interest therein or perfection thereof outweigh the value of the security afforded thereby.</w:t>
      </w:r>
    </w:p>
    <w:p>
      <w:pPr>
        <w:spacing w:after="0" w:line="3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Hedge Agreement.</w:t>
      </w:r>
      <w:r>
        <w:rPr>
          <w:rFonts w:ascii="Arial" w:cs="Arial" w:eastAsia="Arial" w:hAnsi="Arial"/>
          <w:sz w:val="18"/>
          <w:szCs w:val="18"/>
          <w:color w:val="auto"/>
        </w:rPr>
        <w:t xml:space="preserve"> Not later than ninety (90) days after the Closing Date, enter into and maintain at all times thereafter for a period of not less than two (2) years, Hedge Agreements with Persons acceptable to the Administrative Agent, in an amount sufficient to cause at least 50% percent of the aggregate principal amount of the Initial Term Loan to be fixed rate Indebtedness.</w:t>
      </w:r>
    </w:p>
    <w:p>
      <w:pPr>
        <w:spacing w:after="0" w:line="18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8.15</w:t>
      </w:r>
      <w:r>
        <w:rPr>
          <w:sz w:val="20"/>
          <w:szCs w:val="20"/>
          <w:color w:val="auto"/>
        </w:rPr>
        <w:tab/>
      </w:r>
      <w:r>
        <w:rPr>
          <w:rFonts w:ascii="Arial" w:cs="Arial" w:eastAsia="Arial" w:hAnsi="Arial"/>
          <w:sz w:val="15"/>
          <w:szCs w:val="15"/>
          <w:u w:val="single" w:color="auto"/>
          <w:color w:val="auto"/>
        </w:rPr>
        <w:t>Use of Proceeds.</w:t>
      </w:r>
    </w:p>
    <w:p>
      <w:pPr>
        <w:spacing w:after="0" w:line="252" w:lineRule="exact"/>
        <w:rPr>
          <w:sz w:val="20"/>
          <w:szCs w:val="20"/>
          <w:color w:val="auto"/>
        </w:rPr>
      </w:pPr>
    </w:p>
    <w:p>
      <w:pPr>
        <w:jc w:val="both"/>
        <w:ind w:firstLine="644"/>
        <w:spacing w:after="0" w:line="364" w:lineRule="auto"/>
        <w:tabs>
          <w:tab w:leader="none" w:pos="138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Borrower shall use the proceeds of the Extensions of Credit (i) to finance the Specified Dividend, (ii) to finance Capital Expenditures, (iii) pay fees, commissions and expenses in connection with the Transactions, (iv) to repay existing Indebtedness of Holdings and its Subsidiaries as contemplated under </w:t>
      </w:r>
      <w:r>
        <w:rPr>
          <w:rFonts w:ascii="Arial" w:cs="Arial" w:eastAsia="Arial" w:hAnsi="Arial"/>
          <w:sz w:val="16"/>
          <w:szCs w:val="16"/>
          <w:u w:val="single" w:color="auto"/>
          <w:color w:val="auto"/>
        </w:rPr>
        <w:t>Section 6.1(g)(iii),</w:t>
      </w:r>
      <w:r>
        <w:rPr>
          <w:rFonts w:ascii="Arial" w:cs="Arial" w:eastAsia="Arial" w:hAnsi="Arial"/>
          <w:sz w:val="16"/>
          <w:szCs w:val="16"/>
          <w:color w:val="auto"/>
        </w:rPr>
        <w:t xml:space="preserve"> and (v) for working capital and general corporate purposes of the Borrower and its Subsidiaries.</w:t>
      </w:r>
    </w:p>
    <w:p>
      <w:pPr>
        <w:spacing w:after="0" w:line="148" w:lineRule="exact"/>
        <w:rPr>
          <w:rFonts w:ascii="Arial" w:cs="Arial" w:eastAsia="Arial" w:hAnsi="Arial"/>
          <w:sz w:val="16"/>
          <w:szCs w:val="16"/>
          <w:color w:val="auto"/>
        </w:rPr>
      </w:pPr>
    </w:p>
    <w:p>
      <w:pPr>
        <w:ind w:firstLine="644"/>
        <w:spacing w:after="0" w:line="324" w:lineRule="auto"/>
        <w:tabs>
          <w:tab w:leader="none" w:pos="13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Borrower shall use the proceeds of any Incremental Term Loan and any Incremental Revolving Credit Increase as permitted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as applicable.</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Corporate Governance.</w:t>
      </w:r>
      <w:r>
        <w:rPr>
          <w:rFonts w:ascii="Arial" w:cs="Arial" w:eastAsia="Arial" w:hAnsi="Arial"/>
          <w:sz w:val="17"/>
          <w:szCs w:val="17"/>
          <w:color w:val="auto"/>
        </w:rPr>
        <w:t xml:space="preserve"> (a)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to authorize and approve such entity’s actions, which meetings will be separate from those of any other entity which is an Affiliate of such entity. For the purposes of this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“Affiliate” shall not include Holdings or any Subsidiary thereof.</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8.17</w:t>
      </w:r>
      <w:r>
        <w:rPr>
          <w:sz w:val="20"/>
          <w:szCs w:val="20"/>
          <w:color w:val="auto"/>
        </w:rPr>
        <w:tab/>
      </w:r>
      <w:r>
        <w:rPr>
          <w:rFonts w:ascii="Arial" w:cs="Arial" w:eastAsia="Arial" w:hAnsi="Arial"/>
          <w:sz w:val="15"/>
          <w:szCs w:val="15"/>
          <w:u w:val="single" w:color="auto"/>
          <w:color w:val="auto"/>
        </w:rPr>
        <w:t>Further Assurances.</w:t>
      </w:r>
    </w:p>
    <w:p>
      <w:pPr>
        <w:spacing w:after="0" w:line="279" w:lineRule="exact"/>
        <w:rPr>
          <w:sz w:val="20"/>
          <w:szCs w:val="20"/>
          <w:color w:val="auto"/>
        </w:rPr>
      </w:pPr>
    </w:p>
    <w:p>
      <w:pPr>
        <w:jc w:val="both"/>
        <w:ind w:firstLine="644"/>
        <w:spacing w:after="0" w:line="302" w:lineRule="auto"/>
        <w:tabs>
          <w:tab w:leader="none" w:pos="89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contemplated by the Security Documents or the validity or priority of any such Lien (subject to Permitted Liens), all at the expense of</w:t>
      </w:r>
    </w:p>
    <w:p>
      <w:pPr>
        <w:spacing w:after="0" w:line="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Parties. The Borrower also agrees to provide to the Administrative Agent, from time to time upon the reasonable request by the Administrative Agent, evidence reasonably satisfactory to the Administrative Agent as to the perfection and priority of the Liens created or intended to be created by the Security Documents (subject to Permitted Liens).</w:t>
      </w:r>
    </w:p>
    <w:p>
      <w:pPr>
        <w:spacing w:after="0" w:line="19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8.18,</w:t>
      </w:r>
      <w:r>
        <w:rPr>
          <w:rFonts w:ascii="Arial" w:cs="Arial" w:eastAsia="Arial" w:hAnsi="Arial"/>
          <w:sz w:val="18"/>
          <w:szCs w:val="18"/>
          <w:color w:val="auto"/>
        </w:rPr>
        <w:t xml:space="preserve"> in each case within the time limits specified on such schedule.</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360" w:top="828" w:right="239" w:bottom="1440" w:gutter="0" w:footer="0" w:header="0"/>
        </w:sectPr>
      </w:pPr>
    </w:p>
    <w:bookmarkStart w:id="142" w:name="page143"/>
    <w:bookmarkEnd w:id="142"/>
    <w:p>
      <w:pPr>
        <w:ind w:left="3644"/>
        <w:spacing w:after="0"/>
        <w:rPr>
          <w:sz w:val="20"/>
          <w:szCs w:val="20"/>
          <w:color w:val="auto"/>
        </w:rPr>
      </w:pPr>
      <w:r>
        <w:rPr>
          <w:rFonts w:ascii="Arial" w:cs="Arial" w:eastAsia="Arial" w:hAnsi="Arial"/>
          <w:sz w:val="18"/>
          <w:szCs w:val="18"/>
          <w:color w:val="auto"/>
        </w:rPr>
        <w:t>ARTICLE IX NEGATIVE COVENANTS</w:t>
      </w:r>
    </w:p>
    <w:p>
      <w:pPr>
        <w:spacing w:after="0" w:line="104" w:lineRule="exact"/>
        <w:rPr>
          <w:sz w:val="20"/>
          <w:szCs w:val="20"/>
          <w:color w:val="auto"/>
        </w:rPr>
      </w:pPr>
    </w:p>
    <w:p>
      <w:pPr>
        <w:ind w:left="4" w:right="440" w:firstLine="648"/>
        <w:spacing w:after="0" w:line="258"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all Letters of Credit have been terminated or expired (or been Cash</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Collateralized) and the Commitments terminated, the Credit Parties will not, and will not permit any of their respective Subsidiaries to;</w:t>
      </w:r>
    </w:p>
    <w:p>
      <w:pPr>
        <w:spacing w:after="0" w:line="22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Create, incur, assume or suffer to exist any Indebtedness except:</w:t>
      </w:r>
    </w:p>
    <w:p>
      <w:pPr>
        <w:spacing w:after="0" w:line="252" w:lineRule="exact"/>
        <w:rPr>
          <w:sz w:val="20"/>
          <w:szCs w:val="20"/>
          <w:color w:val="auto"/>
        </w:rPr>
      </w:pPr>
    </w:p>
    <w:p>
      <w:pPr>
        <w:ind w:left="1384" w:hanging="736"/>
        <w:spacing w:after="0"/>
        <w:tabs>
          <w:tab w:leader="none" w:pos="138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65" w:lineRule="exact"/>
        <w:rPr>
          <w:rFonts w:ascii="Arial" w:cs="Arial" w:eastAsia="Arial" w:hAnsi="Arial"/>
          <w:sz w:val="18"/>
          <w:szCs w:val="18"/>
          <w:color w:val="auto"/>
        </w:rPr>
      </w:pPr>
    </w:p>
    <w:p>
      <w:pPr>
        <w:ind w:left="4" w:firstLine="644"/>
        <w:spacing w:after="0" w:line="324" w:lineRule="auto"/>
        <w:tabs>
          <w:tab w:leader="none" w:pos="140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Indebtedness and obligations owing under Hedge Agreements entered into in order to manage existing or anticipated interest rate, exchange rate or commodity price risks and not for speculative purposes;</w:t>
      </w:r>
    </w:p>
    <w:p>
      <w:pPr>
        <w:spacing w:after="0" w:line="183" w:lineRule="exact"/>
        <w:rPr>
          <w:rFonts w:ascii="Arial" w:cs="Arial" w:eastAsia="Arial" w:hAnsi="Arial"/>
          <w:sz w:val="18"/>
          <w:szCs w:val="18"/>
          <w:color w:val="auto"/>
        </w:rPr>
      </w:pPr>
    </w:p>
    <w:p>
      <w:pPr>
        <w:jc w:val="both"/>
        <w:ind w:left="4" w:firstLine="644"/>
        <w:spacing w:after="0" w:line="343" w:lineRule="auto"/>
        <w:tabs>
          <w:tab w:leader="none" w:pos="139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Indebtedness existing on the Closing Date and listed on </w:t>
      </w:r>
      <w:r>
        <w:rPr>
          <w:rFonts w:ascii="Arial" w:cs="Arial" w:eastAsia="Arial" w:hAnsi="Arial"/>
          <w:sz w:val="16"/>
          <w:szCs w:val="16"/>
          <w:u w:val="single" w:color="auto"/>
          <w:color w:val="auto"/>
        </w:rPr>
        <w:t>Schedule 9</w:t>
      </w:r>
      <w:r>
        <w:rPr>
          <w:rFonts w:ascii="Arial" w:cs="Arial" w:eastAsia="Arial" w:hAnsi="Arial"/>
          <w:sz w:val="16"/>
          <w:szCs w:val="16"/>
          <w:color w:val="auto"/>
        </w:rPr>
        <w:t xml:space="preserve"> to the Disclosure Letter,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of such refinancing, refunding, renewal or extension shall not be prior to or shorter than that applicable to the Indebtedness prior to such refinancing, refunding, renewal or extension and (iii) any refinancing, refunding, renewal or extension of any Subordinated Indebtedness shall be (A) on subordination terms at least as favorable to the Lenders, (B) no more restrictive on Holdings and its Subsidiaries than the Subordinated Indebtedness being refinanced, refunded, renewed or extended and (C) in an amount not less than the amount outstanding at the time of such refinancing, refunding, renewal or extension;</w:t>
      </w:r>
    </w:p>
    <w:p>
      <w:pPr>
        <w:spacing w:after="0" w:line="165" w:lineRule="exact"/>
        <w:rPr>
          <w:rFonts w:ascii="Arial" w:cs="Arial" w:eastAsia="Arial" w:hAnsi="Arial"/>
          <w:sz w:val="16"/>
          <w:szCs w:val="16"/>
          <w:color w:val="auto"/>
        </w:rPr>
      </w:pPr>
    </w:p>
    <w:p>
      <w:pPr>
        <w:ind w:left="4" w:right="20" w:firstLine="644"/>
        <w:spacing w:after="0" w:line="324" w:lineRule="auto"/>
        <w:tabs>
          <w:tab w:leader="none" w:pos="140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Indebtedness incurred in connection with Capital Leases and purchase money Indebtedness in an aggregate amount not to exceed $20,000,000 at any time outstanding;</w:t>
      </w:r>
    </w:p>
    <w:p>
      <w:pPr>
        <w:spacing w:after="0" w:line="183" w:lineRule="exact"/>
        <w:rPr>
          <w:rFonts w:ascii="Arial" w:cs="Arial" w:eastAsia="Arial" w:hAnsi="Arial"/>
          <w:sz w:val="18"/>
          <w:szCs w:val="18"/>
          <w:color w:val="auto"/>
        </w:rPr>
      </w:pPr>
    </w:p>
    <w:p>
      <w:pPr>
        <w:jc w:val="both"/>
        <w:ind w:left="4" w:firstLine="644"/>
        <w:spacing w:after="0" w:line="291" w:lineRule="auto"/>
        <w:tabs>
          <w:tab w:leader="none" w:pos="13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Indebtedness of a Person existing at the time such Person became a Subsidiary or assets were acquired from such Person in connection with an Investment permitted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to the extent that (i) such Indebtedness was not incurred in connection with, or in contemplation of, such Person becoming a Subsidiary or the acquisition of such assets, (ii) neither Holdings nor any Subsidiary thereof (other than such Person or any other Person that such Person merges with or that acquires the assets of such Person) shall have any liability or other obligation with respect to such Indebtedness and</w:t>
      </w:r>
    </w:p>
    <w:p>
      <w:pPr>
        <w:spacing w:after="0" w:line="1" w:lineRule="exact"/>
        <w:rPr>
          <w:rFonts w:ascii="Arial" w:cs="Arial" w:eastAsia="Arial" w:hAnsi="Arial"/>
          <w:sz w:val="18"/>
          <w:szCs w:val="18"/>
          <w:color w:val="auto"/>
        </w:rPr>
      </w:pPr>
    </w:p>
    <w:p>
      <w:pPr>
        <w:ind w:left="324" w:hanging="324"/>
        <w:spacing w:after="0"/>
        <w:tabs>
          <w:tab w:leader="none" w:pos="3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aggregate outstanding principal amount of such Indebtedness does not exceed $25,000,000 at any time outstanding;</w:t>
      </w:r>
    </w:p>
    <w:p>
      <w:pPr>
        <w:spacing w:after="0" w:line="35" w:lineRule="exact"/>
        <w:rPr>
          <w:rFonts w:ascii="Arial" w:cs="Arial" w:eastAsia="Arial" w:hAnsi="Arial"/>
          <w:sz w:val="18"/>
          <w:szCs w:val="18"/>
          <w:color w:val="auto"/>
        </w:rPr>
      </w:pPr>
    </w:p>
    <w:p>
      <w:pPr>
        <w:jc w:val="both"/>
        <w:ind w:left="4" w:firstLine="644"/>
        <w:spacing w:after="0" w:line="311" w:lineRule="auto"/>
        <w:tabs>
          <w:tab w:leader="none" w:pos="137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Guaranty Obligations with respect to Indebtedness permitted pursuant to subsections (a) through (e) of this Section, subsections (g) through (t) of this Section, and, other than with respect to the Indebtedness of any Subsidiary which is not a Credit Party, subsection (u) of this Section (and the Holdings JAX Guaranty Obligation);</w:t>
      </w:r>
    </w:p>
    <w:p>
      <w:pPr>
        <w:spacing w:after="0" w:line="167" w:lineRule="exact"/>
        <w:rPr>
          <w:rFonts w:ascii="Arial" w:cs="Arial" w:eastAsia="Arial" w:hAnsi="Arial"/>
          <w:sz w:val="18"/>
          <w:szCs w:val="18"/>
          <w:color w:val="auto"/>
        </w:rPr>
      </w:pPr>
    </w:p>
    <w:p>
      <w:pPr>
        <w:ind w:left="1304" w:hanging="656"/>
        <w:spacing w:after="0"/>
        <w:tabs>
          <w:tab w:leader="none" w:pos="13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unsecured intercompany Indebtedness:</w:t>
      </w:r>
    </w:p>
    <w:p>
      <w:pPr>
        <w:spacing w:after="0" w:line="252" w:lineRule="exact"/>
        <w:rPr>
          <w:rFonts w:ascii="Arial" w:cs="Arial" w:eastAsia="Arial" w:hAnsi="Arial"/>
          <w:sz w:val="18"/>
          <w:szCs w:val="18"/>
          <w:color w:val="auto"/>
        </w:rPr>
      </w:pPr>
    </w:p>
    <w:p>
      <w:pPr>
        <w:ind w:left="2004" w:hanging="707"/>
        <w:spacing w:after="0"/>
        <w:tabs>
          <w:tab w:leader="none" w:pos="2004" w:val="left"/>
        </w:tabs>
        <w:numPr>
          <w:ilvl w:val="2"/>
          <w:numId w:val="177"/>
        </w:numPr>
        <w:rPr>
          <w:rFonts w:ascii="Arial" w:cs="Arial" w:eastAsia="Arial" w:hAnsi="Arial"/>
          <w:sz w:val="18"/>
          <w:szCs w:val="18"/>
          <w:color w:val="auto"/>
        </w:rPr>
      </w:pPr>
      <w:r>
        <w:rPr>
          <w:rFonts w:ascii="Arial" w:cs="Arial" w:eastAsia="Arial" w:hAnsi="Arial"/>
          <w:sz w:val="18"/>
          <w:szCs w:val="18"/>
          <w:color w:val="auto"/>
        </w:rPr>
        <w:t>owed by any Credit Party to another Credit Party;</w:t>
      </w:r>
    </w:p>
    <w:p>
      <w:pPr>
        <w:spacing w:after="0" w:line="279" w:lineRule="exact"/>
        <w:rPr>
          <w:rFonts w:ascii="Arial" w:cs="Arial" w:eastAsia="Arial" w:hAnsi="Arial"/>
          <w:sz w:val="18"/>
          <w:szCs w:val="18"/>
          <w:color w:val="auto"/>
        </w:rPr>
      </w:pPr>
    </w:p>
    <w:p>
      <w:pPr>
        <w:ind w:left="644" w:firstLine="653"/>
        <w:spacing w:after="0" w:line="324" w:lineRule="auto"/>
        <w:tabs>
          <w:tab w:leader="none" w:pos="2052" w:val="left"/>
        </w:tabs>
        <w:numPr>
          <w:ilvl w:val="2"/>
          <w:numId w:val="177"/>
        </w:numPr>
        <w:rPr>
          <w:rFonts w:ascii="Arial" w:cs="Arial" w:eastAsia="Arial" w:hAnsi="Arial"/>
          <w:sz w:val="18"/>
          <w:szCs w:val="18"/>
          <w:color w:val="auto"/>
        </w:rPr>
      </w:pPr>
      <w:r>
        <w:rPr>
          <w:rFonts w:ascii="Arial" w:cs="Arial" w:eastAsia="Arial" w:hAnsi="Arial"/>
          <w:sz w:val="18"/>
          <w:szCs w:val="18"/>
          <w:color w:val="auto"/>
        </w:rPr>
        <w:t>owed by any Credit Party to any Non-Guarantor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be subordinated to the Obligations in a manner reasonably satisfactory to the Administrative Agent); and</w:t>
      </w:r>
    </w:p>
    <w:p>
      <w:pPr>
        <w:spacing w:after="0" w:line="156" w:lineRule="exact"/>
        <w:rPr>
          <w:rFonts w:ascii="Arial" w:cs="Arial" w:eastAsia="Arial" w:hAnsi="Arial"/>
          <w:sz w:val="18"/>
          <w:szCs w:val="18"/>
          <w:color w:val="auto"/>
        </w:rPr>
      </w:pPr>
    </w:p>
    <w:p>
      <w:pPr>
        <w:ind w:left="1944" w:hanging="647"/>
        <w:spacing w:after="0"/>
        <w:tabs>
          <w:tab w:leader="none" w:pos="1944" w:val="left"/>
        </w:tabs>
        <w:numPr>
          <w:ilvl w:val="2"/>
          <w:numId w:val="177"/>
        </w:numPr>
        <w:rPr>
          <w:rFonts w:ascii="Arial" w:cs="Arial" w:eastAsia="Arial" w:hAnsi="Arial"/>
          <w:sz w:val="18"/>
          <w:szCs w:val="18"/>
          <w:color w:val="auto"/>
        </w:rPr>
      </w:pPr>
      <w:r>
        <w:rPr>
          <w:rFonts w:ascii="Arial" w:cs="Arial" w:eastAsia="Arial" w:hAnsi="Arial"/>
          <w:sz w:val="18"/>
          <w:szCs w:val="18"/>
          <w:color w:val="auto"/>
        </w:rPr>
        <w:t>owed by any Non-Guarantor Subsidiary to any other Non-Guarantor Subsidiary;</w:t>
      </w:r>
    </w:p>
    <w:p>
      <w:pPr>
        <w:spacing w:after="0" w:line="252" w:lineRule="exact"/>
        <w:rPr>
          <w:rFonts w:ascii="Arial" w:cs="Arial" w:eastAsia="Arial" w:hAnsi="Arial"/>
          <w:sz w:val="18"/>
          <w:szCs w:val="18"/>
          <w:color w:val="auto"/>
        </w:rPr>
      </w:pPr>
    </w:p>
    <w:p>
      <w:pPr>
        <w:ind w:left="4" w:right="20" w:firstLine="644"/>
        <w:spacing w:after="0" w:line="324" w:lineRule="auto"/>
        <w:tabs>
          <w:tab w:leader="none" w:pos="140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other similar instrument drawn against insufficient funds in the ordinary course of business (and any endorsement of instruments or other payment items for deposit);</w:t>
      </w:r>
    </w:p>
    <w:p>
      <w:pPr>
        <w:spacing w:after="0" w:line="170" w:lineRule="exact"/>
        <w:rPr>
          <w:rFonts w:ascii="Arial" w:cs="Arial" w:eastAsia="Arial" w:hAnsi="Arial"/>
          <w:sz w:val="18"/>
          <w:szCs w:val="18"/>
          <w:color w:val="auto"/>
        </w:rPr>
      </w:pPr>
    </w:p>
    <w:p>
      <w:pPr>
        <w:ind w:left="4" w:right="20" w:firstLine="644"/>
        <w:spacing w:after="0" w:line="395" w:lineRule="auto"/>
        <w:tabs>
          <w:tab w:leader="none" w:pos="136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35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4"/>
          </w:cols>
          <w:pgMar w:left="356" w:top="949" w:right="239" w:bottom="1440" w:gutter="0" w:footer="0" w:header="0"/>
        </w:sectPr>
      </w:pPr>
    </w:p>
    <w:bookmarkStart w:id="143" w:name="page144"/>
    <w:bookmarkEnd w:id="143"/>
    <w:p>
      <w:pPr>
        <w:jc w:val="both"/>
        <w:ind w:left="40" w:firstLine="644"/>
        <w:spacing w:after="0" w:line="311" w:lineRule="auto"/>
        <w:tabs>
          <w:tab w:leader="none" w:pos="139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Indebtedness consisting of (i) unsecured guarantees incurred in the ordinary course of business with respect to surety and appeal bonds, performance bonds, bid bonds, appeal bonds, completion guarantee and similar obligations, and (ii) unsecured guarantees arising with respect to customary indemnification obligations to purchasers in connection with any Asset Disposition permitted by </w:t>
      </w:r>
      <w:r>
        <w:rPr>
          <w:rFonts w:ascii="Arial" w:cs="Arial" w:eastAsia="Arial" w:hAnsi="Arial"/>
          <w:sz w:val="18"/>
          <w:szCs w:val="18"/>
          <w:u w:val="single" w:color="auto"/>
          <w:color w:val="auto"/>
        </w:rPr>
        <w:t>Section 9.5;</w:t>
      </w:r>
    </w:p>
    <w:p>
      <w:pPr>
        <w:spacing w:after="0" w:line="181" w:lineRule="exact"/>
        <w:rPr>
          <w:rFonts w:ascii="Arial" w:cs="Arial" w:eastAsia="Arial" w:hAnsi="Arial"/>
          <w:sz w:val="18"/>
          <w:szCs w:val="18"/>
          <w:color w:val="auto"/>
        </w:rPr>
      </w:pPr>
    </w:p>
    <w:p>
      <w:pPr>
        <w:jc w:val="both"/>
        <w:ind w:left="40" w:firstLine="644"/>
        <w:spacing w:after="0" w:line="336" w:lineRule="auto"/>
        <w:tabs>
          <w:tab w:leader="none" w:pos="143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Indebtedness owed to any Person providing property, casualty, liability, or other insurance to Holdings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64" w:lineRule="exact"/>
        <w:rPr>
          <w:rFonts w:ascii="Arial" w:cs="Arial" w:eastAsia="Arial" w:hAnsi="Arial"/>
          <w:sz w:val="17"/>
          <w:szCs w:val="17"/>
          <w:color w:val="auto"/>
        </w:rPr>
      </w:pPr>
    </w:p>
    <w:p>
      <w:pPr>
        <w:ind w:left="40" w:firstLine="644"/>
        <w:spacing w:after="0" w:line="324" w:lineRule="auto"/>
        <w:tabs>
          <w:tab w:leader="none" w:pos="139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in respect of credit cards, credit card processing services, debit cards, stored value cards, purchase cards (including so-called “procurement cards” or “P-cards”), or cash management services;</w:t>
      </w:r>
    </w:p>
    <w:p>
      <w:pPr>
        <w:spacing w:after="0" w:line="170" w:lineRule="exact"/>
        <w:rPr>
          <w:rFonts w:ascii="Arial" w:cs="Arial" w:eastAsia="Arial" w:hAnsi="Arial"/>
          <w:sz w:val="18"/>
          <w:szCs w:val="18"/>
          <w:color w:val="auto"/>
        </w:rPr>
      </w:pPr>
    </w:p>
    <w:p>
      <w:pPr>
        <w:jc w:val="both"/>
        <w:ind w:firstLine="657"/>
        <w:spacing w:after="0" w:line="304" w:lineRule="auto"/>
        <w:tabs>
          <w:tab w:leader="none" w:pos="146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unsecured Indebtedness of Holdings owing to former employees, officers, or directors (or any spouses, ex-spouses, or estates of any of the foregoing) incurred in connection with the repurchase by Holdings of the Equity Interests of Holdings that has been issued to such Persons, so long as (i) no Default or Event of Default has occurred and is continuing or would result from the incurrence of such Indebtedness, (ii) the aggregate amount of all such Indebtedness outstanding at any one time does not exceed $1,000,000, and (iii) such Indebtedness is subordinated to the Obligations on terms and conditions reasonably acceptable to Administrative Agent;</w:t>
      </w:r>
    </w:p>
    <w:p>
      <w:pPr>
        <w:spacing w:after="0" w:line="188" w:lineRule="exact"/>
        <w:rPr>
          <w:rFonts w:ascii="Arial" w:cs="Arial" w:eastAsia="Arial" w:hAnsi="Arial"/>
          <w:sz w:val="18"/>
          <w:szCs w:val="18"/>
          <w:color w:val="auto"/>
        </w:rPr>
      </w:pPr>
    </w:p>
    <w:p>
      <w:pPr>
        <w:ind w:right="20" w:firstLine="657"/>
        <w:spacing w:after="0" w:line="282" w:lineRule="auto"/>
        <w:tabs>
          <w:tab w:leader="none" w:pos="14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contingent liabilities in respect of any indemnification obligation, adjustment of purchase price, non-compete, or similar obligation of Holdings or the applicable Credit Party incurred in connection with the consummation of one or more Permitted Acquisitions;</w:t>
      </w:r>
    </w:p>
    <w:p>
      <w:pPr>
        <w:ind w:left="1340" w:hanging="656"/>
        <w:spacing w:after="0"/>
        <w:tabs>
          <w:tab w:leader="none" w:pos="13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Indebtedness composing Investments permitted by </w:t>
      </w:r>
      <w:r>
        <w:rPr>
          <w:rFonts w:ascii="Arial" w:cs="Arial" w:eastAsia="Arial" w:hAnsi="Arial"/>
          <w:sz w:val="18"/>
          <w:szCs w:val="18"/>
          <w:u w:val="single" w:color="auto"/>
          <w:color w:val="auto"/>
        </w:rPr>
        <w:t>Section 9.3;</w:t>
      </w:r>
    </w:p>
    <w:p>
      <w:pPr>
        <w:spacing w:after="0" w:line="251" w:lineRule="exact"/>
        <w:rPr>
          <w:rFonts w:ascii="Arial" w:cs="Arial" w:eastAsia="Arial" w:hAnsi="Arial"/>
          <w:sz w:val="18"/>
          <w:szCs w:val="18"/>
          <w:color w:val="auto"/>
        </w:rPr>
      </w:pPr>
    </w:p>
    <w:p>
      <w:pPr>
        <w:ind w:left="40" w:firstLine="644"/>
        <w:spacing w:after="0" w:line="324" w:lineRule="auto"/>
        <w:tabs>
          <w:tab w:leader="none" w:pos="143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unsecured Indebtedness incurred in respect of netting services, overdraft protection, and other like services, in each case, incurred in the ordinary course of business;</w:t>
      </w:r>
    </w:p>
    <w:p>
      <w:pPr>
        <w:spacing w:after="0" w:line="170" w:lineRule="exact"/>
        <w:rPr>
          <w:rFonts w:ascii="Arial" w:cs="Arial" w:eastAsia="Arial" w:hAnsi="Arial"/>
          <w:sz w:val="18"/>
          <w:szCs w:val="18"/>
          <w:color w:val="auto"/>
        </w:rPr>
      </w:pPr>
    </w:p>
    <w:p>
      <w:pPr>
        <w:jc w:val="both"/>
        <w:ind w:left="40" w:firstLine="644"/>
        <w:spacing w:after="0" w:line="311" w:lineRule="auto"/>
        <w:tabs>
          <w:tab w:leader="none" w:pos="143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unsecured Indebtedness of Holdings or its Subsidiaries in respect of earn-outs owing to sellers of assets or Equity Interests to Borrower or its Subsidiaries that is incurred in connection with the consummation of one or more Permitted Acquisitions so long as such unsecured Indebtedness is on terms and conditions not materially more restrictive than the terms of this Agreement;</w:t>
      </w:r>
    </w:p>
    <w:p>
      <w:pPr>
        <w:spacing w:after="0" w:line="181" w:lineRule="exact"/>
        <w:rPr>
          <w:rFonts w:ascii="Arial" w:cs="Arial" w:eastAsia="Arial" w:hAnsi="Arial"/>
          <w:sz w:val="18"/>
          <w:szCs w:val="18"/>
          <w:color w:val="auto"/>
        </w:rPr>
      </w:pPr>
    </w:p>
    <w:p>
      <w:pPr>
        <w:ind w:left="40" w:firstLine="644"/>
        <w:spacing w:after="0" w:line="324" w:lineRule="auto"/>
        <w:tabs>
          <w:tab w:leader="none" w:pos="140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accrual of interest, accretion or amortization of original issue discount, or the payment of interest in kind, in each case, on Indebtedness permitted under this </w:t>
      </w:r>
      <w:r>
        <w:rPr>
          <w:rFonts w:ascii="Arial" w:cs="Arial" w:eastAsia="Arial" w:hAnsi="Arial"/>
          <w:sz w:val="18"/>
          <w:szCs w:val="18"/>
          <w:u w:val="single" w:color="auto"/>
          <w:color w:val="auto"/>
        </w:rPr>
        <w:t>Section 9.1;</w:t>
      </w:r>
    </w:p>
    <w:p>
      <w:pPr>
        <w:spacing w:after="0" w:line="170" w:lineRule="exact"/>
        <w:rPr>
          <w:sz w:val="20"/>
          <w:szCs w:val="20"/>
          <w:color w:val="auto"/>
        </w:rPr>
      </w:pPr>
    </w:p>
    <w:p>
      <w:pPr>
        <w:ind w:right="20" w:firstLine="657"/>
        <w:spacing w:after="0" w:line="324" w:lineRule="auto"/>
        <w:tabs>
          <w:tab w:leader="none" w:pos="139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Indebtedness of Holdings or its Subsidiaries resulting from any guaranties of the lease obligations of any Credit Party (other than Holdings) to the extent such lease obligations are permitted to be incurred under this Agreement;</w:t>
      </w:r>
    </w:p>
    <w:p>
      <w:pPr>
        <w:spacing w:after="0" w:line="170" w:lineRule="exact"/>
        <w:rPr>
          <w:rFonts w:ascii="Arial" w:cs="Arial" w:eastAsia="Arial" w:hAnsi="Arial"/>
          <w:sz w:val="18"/>
          <w:szCs w:val="18"/>
          <w:color w:val="auto"/>
        </w:rPr>
      </w:pPr>
    </w:p>
    <w:p>
      <w:pPr>
        <w:ind w:right="20" w:firstLine="657"/>
        <w:spacing w:after="0" w:line="324" w:lineRule="auto"/>
        <w:tabs>
          <w:tab w:leader="none" w:pos="137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Indebtedness of Holdings or its Subsidiaries resulting from the guaranty of the obligations of any Credit Party (other than Holdings), as franchisor, pursuant to the registration requirements of one or more states in which franchises are offered to franchisees; and</w:t>
      </w:r>
    </w:p>
    <w:p>
      <w:pPr>
        <w:spacing w:after="0" w:line="170" w:lineRule="exact"/>
        <w:rPr>
          <w:rFonts w:ascii="Arial" w:cs="Arial" w:eastAsia="Arial" w:hAnsi="Arial"/>
          <w:sz w:val="18"/>
          <w:szCs w:val="18"/>
          <w:color w:val="auto"/>
        </w:rPr>
      </w:pPr>
    </w:p>
    <w:p>
      <w:pPr>
        <w:ind w:firstLine="657"/>
        <w:spacing w:after="0" w:line="324" w:lineRule="auto"/>
        <w:tabs>
          <w:tab w:leader="none" w:pos="141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Indebtedness of any Credit Party or any Subsidiary thereof not otherwise permitted pursuant to this Section in an aggregate principal amount not to exceed $25,000,000 at any time outstanding.</w:t>
      </w:r>
    </w:p>
    <w:p>
      <w:pPr>
        <w:spacing w:after="0" w:line="143" w:lineRule="exact"/>
        <w:rPr>
          <w:sz w:val="20"/>
          <w:szCs w:val="20"/>
          <w:color w:val="auto"/>
        </w:rPr>
      </w:pPr>
    </w:p>
    <w:p>
      <w:pPr>
        <w:ind w:left="40" w:firstLine="621"/>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Create, incur, assume or suffer to exist, any Lien on or with respect to any of its Property, whether now owned or hereafter acquired, except:</w:t>
      </w:r>
    </w:p>
    <w:p>
      <w:pPr>
        <w:spacing w:after="0" w:line="197" w:lineRule="exact"/>
        <w:rPr>
          <w:sz w:val="20"/>
          <w:szCs w:val="20"/>
          <w:color w:val="auto"/>
        </w:rPr>
      </w:pPr>
    </w:p>
    <w:p>
      <w:pPr>
        <w:ind w:left="40" w:firstLine="644"/>
        <w:spacing w:after="0" w:line="324" w:lineRule="auto"/>
        <w:tabs>
          <w:tab w:leader="none" w:pos="142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Liens created pursuant to the Loan Documents (including, without limitation, Liens in favor of the Swingline Lender and/or the Issuing Lenders, as applicable, on Cash Collateral granted pursuant to the Loan Documents);</w:t>
      </w:r>
    </w:p>
    <w:p>
      <w:pPr>
        <w:spacing w:after="0" w:line="170" w:lineRule="exact"/>
        <w:rPr>
          <w:rFonts w:ascii="Arial" w:cs="Arial" w:eastAsia="Arial" w:hAnsi="Arial"/>
          <w:sz w:val="18"/>
          <w:szCs w:val="18"/>
          <w:color w:val="auto"/>
        </w:rPr>
      </w:pPr>
    </w:p>
    <w:p>
      <w:pPr>
        <w:jc w:val="both"/>
        <w:ind w:left="40" w:firstLine="644"/>
        <w:spacing w:after="0" w:line="304" w:lineRule="auto"/>
        <w:tabs>
          <w:tab w:leader="none" w:pos="143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described on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to the Disclosure Letter, and the replacement, renewal or extension thereof (including Liens incurred, assumed or suffered to exist in connection with any refinancing, refunding, renewal or extension of Indebtedness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(solely to the extent that such Liens were in existence on the Closing Date and described on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to the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scope of any such Lien shall not be increased, or otherwise expanded, to cover any additional property or type of asset, as applicable, beyond</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320" w:top="611" w:right="239" w:bottom="1440" w:gutter="0" w:footer="0" w:header="0"/>
        </w:sectPr>
      </w:pPr>
    </w:p>
    <w:bookmarkStart w:id="144" w:name="page145"/>
    <w:bookmarkEnd w:id="144"/>
    <w:p>
      <w:pPr>
        <w:ind w:left="4"/>
        <w:spacing w:after="0"/>
        <w:rPr>
          <w:sz w:val="20"/>
          <w:szCs w:val="20"/>
          <w:color w:val="auto"/>
        </w:rPr>
      </w:pPr>
      <w:r>
        <w:rPr>
          <w:rFonts w:ascii="Arial" w:cs="Arial" w:eastAsia="Arial" w:hAnsi="Arial"/>
          <w:sz w:val="18"/>
          <w:szCs w:val="18"/>
          <w:color w:val="auto"/>
        </w:rPr>
        <w:t>that in existence on the Closing Date, except for products and proceeds of the foregoing;</w:t>
      </w:r>
    </w:p>
    <w:p>
      <w:pPr>
        <w:spacing w:after="0" w:line="266" w:lineRule="exact"/>
        <w:rPr>
          <w:sz w:val="20"/>
          <w:szCs w:val="20"/>
          <w:color w:val="auto"/>
        </w:rPr>
      </w:pPr>
    </w:p>
    <w:p>
      <w:pPr>
        <w:ind w:left="4" w:firstLine="644"/>
        <w:spacing w:after="0" w:line="317" w:lineRule="auto"/>
        <w:tabs>
          <w:tab w:leader="none" w:pos="1392" w:val="left"/>
        </w:tabs>
        <w:numPr>
          <w:ilvl w:val="1"/>
          <w:numId w:val="182"/>
        </w:numPr>
        <w:rPr>
          <w:rFonts w:ascii="Arial" w:cs="Arial" w:eastAsia="Arial" w:hAnsi="Arial"/>
          <w:sz w:val="16"/>
          <w:szCs w:val="16"/>
          <w:color w:val="auto"/>
        </w:rPr>
      </w:pPr>
      <w:r>
        <w:rPr>
          <w:rFonts w:ascii="Arial" w:cs="Arial" w:eastAsia="Arial" w:hAnsi="Arial"/>
          <w:sz w:val="16"/>
          <w:szCs w:val="16"/>
          <w:color w:val="auto"/>
        </w:rPr>
        <w:t>Liens for taxes, assessments and other governmental charges or levies (excluding any Lien imposed pursuant to any of the provisions of ERISA or Environmental Laws) (i) not yet due or as to which the period of grace (not to exceed thirty (30) days), if any, related thereto has not expired or</w:t>
      </w:r>
    </w:p>
    <w:p>
      <w:pPr>
        <w:ind w:left="264" w:hanging="264"/>
        <w:spacing w:after="0"/>
        <w:tabs>
          <w:tab w:leader="none" w:pos="26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which are being contested in good faith and by appropriate proceedings if adequate reserves are maintained to the extent required by GAAP;</w:t>
      </w:r>
    </w:p>
    <w:p>
      <w:pPr>
        <w:spacing w:after="0" w:line="276" w:lineRule="exact"/>
        <w:rPr>
          <w:rFonts w:ascii="Arial" w:cs="Arial" w:eastAsia="Arial" w:hAnsi="Arial"/>
          <w:sz w:val="17"/>
          <w:szCs w:val="17"/>
          <w:color w:val="auto"/>
        </w:rPr>
      </w:pPr>
    </w:p>
    <w:p>
      <w:pPr>
        <w:jc w:val="both"/>
        <w:ind w:left="4" w:firstLine="644"/>
        <w:spacing w:after="0" w:line="306" w:lineRule="auto"/>
        <w:tabs>
          <w:tab w:leader="none" w:pos="140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w:t>
      </w:r>
    </w:p>
    <w:p>
      <w:pPr>
        <w:spacing w:after="0" w:line="1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individually or in the aggregate, materially impair the use thereof in the operation of the business of Holdings or any of its Subsidiaries;</w:t>
      </w:r>
    </w:p>
    <w:p>
      <w:pPr>
        <w:spacing w:after="0" w:line="265" w:lineRule="exact"/>
        <w:rPr>
          <w:rFonts w:ascii="Arial" w:cs="Arial" w:eastAsia="Arial" w:hAnsi="Arial"/>
          <w:sz w:val="18"/>
          <w:szCs w:val="18"/>
          <w:color w:val="auto"/>
        </w:rPr>
      </w:pPr>
    </w:p>
    <w:p>
      <w:pPr>
        <w:jc w:val="both"/>
        <w:ind w:left="4" w:firstLine="644"/>
        <w:spacing w:after="0" w:line="304" w:lineRule="auto"/>
        <w:tabs>
          <w:tab w:leader="none" w:pos="13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deposits or pledges made in the ordinary course of business in connection with, or to secure payment of, obligations under workers’ compensation, unemployment insurance and other types of social security or similar legislation, or to secure the performance of bids, trade contracts and leases (other than Indebtedness),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88" w:lineRule="exact"/>
        <w:rPr>
          <w:rFonts w:ascii="Arial" w:cs="Arial" w:eastAsia="Arial" w:hAnsi="Arial"/>
          <w:sz w:val="18"/>
          <w:szCs w:val="18"/>
          <w:color w:val="auto"/>
        </w:rPr>
      </w:pPr>
    </w:p>
    <w:p>
      <w:pPr>
        <w:jc w:val="both"/>
        <w:ind w:left="4" w:firstLine="644"/>
        <w:spacing w:after="0" w:line="311" w:lineRule="auto"/>
        <w:tabs>
          <w:tab w:leader="none" w:pos="137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81" w:lineRule="exact"/>
        <w:rPr>
          <w:rFonts w:ascii="Arial" w:cs="Arial" w:eastAsia="Arial" w:hAnsi="Arial"/>
          <w:sz w:val="18"/>
          <w:szCs w:val="18"/>
          <w:color w:val="auto"/>
        </w:rPr>
      </w:pPr>
    </w:p>
    <w:p>
      <w:pPr>
        <w:ind w:left="4" w:firstLine="644"/>
        <w:spacing w:after="0" w:line="324" w:lineRule="auto"/>
        <w:tabs>
          <w:tab w:leader="none" w:pos="140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Liens arising from the filing of precautionary UCC financing statements relating solely to personal property leased pursuant to operating leases entered into in the ordinary course of business of the Borrower and its Subsidiaries;</w:t>
      </w:r>
    </w:p>
    <w:p>
      <w:pPr>
        <w:spacing w:after="0" w:line="183" w:lineRule="exact"/>
        <w:rPr>
          <w:rFonts w:ascii="Arial" w:cs="Arial" w:eastAsia="Arial" w:hAnsi="Arial"/>
          <w:sz w:val="18"/>
          <w:szCs w:val="18"/>
          <w:color w:val="auto"/>
        </w:rPr>
      </w:pPr>
    </w:p>
    <w:p>
      <w:pPr>
        <w:jc w:val="both"/>
        <w:ind w:left="4" w:firstLine="644"/>
        <w:spacing w:after="0" w:line="349" w:lineRule="auto"/>
        <w:tabs>
          <w:tab w:leader="none" w:pos="140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9.1(d); provided</w:t>
      </w:r>
      <w:r>
        <w:rPr>
          <w:rFonts w:ascii="Arial" w:cs="Arial" w:eastAsia="Arial" w:hAnsi="Arial"/>
          <w:sz w:val="16"/>
          <w:szCs w:val="16"/>
          <w:color w:val="auto"/>
        </w:rPr>
        <w:t xml:space="preserve"> that (i) such Liens shall be created substantially simultaneously with the acquisition, repair, improvement or lease, as applicable, of the related Property, (ii) such Liens do not at any time encumber any property other than the Property financed by such Indebtedness, (iii) the amount of Indebtedness secured thereby is not increased (other than in connection with additional work) and (iv) the principal amount of Indebtedness secured by any such Lien shall at no time exceed one hundred percent (100%) of the original price for the purchase, repair improvement or lease amount (as applicable) of such Property at the time of purchase, repair, improvement or lease (as applicable);</w:t>
      </w:r>
    </w:p>
    <w:p>
      <w:pPr>
        <w:spacing w:after="0" w:line="161" w:lineRule="exact"/>
        <w:rPr>
          <w:rFonts w:ascii="Arial" w:cs="Arial" w:eastAsia="Arial" w:hAnsi="Arial"/>
          <w:sz w:val="16"/>
          <w:szCs w:val="16"/>
          <w:color w:val="auto"/>
        </w:rPr>
      </w:pPr>
    </w:p>
    <w:p>
      <w:pPr>
        <w:ind w:left="4" w:firstLine="644"/>
        <w:spacing w:after="0" w:line="324" w:lineRule="auto"/>
        <w:tabs>
          <w:tab w:leader="none" w:pos="136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10.1(m)</w:t>
      </w:r>
      <w:r>
        <w:rPr>
          <w:rFonts w:ascii="Arial" w:cs="Arial" w:eastAsia="Arial" w:hAnsi="Arial"/>
          <w:sz w:val="18"/>
          <w:szCs w:val="18"/>
          <w:color w:val="auto"/>
        </w:rPr>
        <w:t xml:space="preserve"> or securing appeal or other surety bonds relating to such judgments;</w:t>
      </w:r>
    </w:p>
    <w:p>
      <w:pPr>
        <w:spacing w:after="0" w:line="170" w:lineRule="exact"/>
        <w:rPr>
          <w:rFonts w:ascii="Arial" w:cs="Arial" w:eastAsia="Arial" w:hAnsi="Arial"/>
          <w:sz w:val="18"/>
          <w:szCs w:val="18"/>
          <w:color w:val="auto"/>
        </w:rPr>
      </w:pPr>
    </w:p>
    <w:p>
      <w:pPr>
        <w:jc w:val="both"/>
        <w:ind w:left="4" w:firstLine="644"/>
        <w:spacing w:after="0" w:line="323" w:lineRule="auto"/>
        <w:tabs>
          <w:tab w:leader="none" w:pos="1362"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(i) Liens on Property (i) of any Subsidiary which are in existence at the time that such Subsidiary is acquired pursuant to a Permitted Acquisition and (ii) of the Borrower or any of its Subsidiaries existing at the time such tangible property or tangible assets are purchased or otherwise acquired by the Borrower or such Subsidiary thereof pursuant to a transaction permitted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of the foregoing clauses (i) and (ii), (A) such Liens are not incurred in connection with, or in anticipation of, such Permitted Acquisition, purchase or other acquisition, (B) such Liens are applicable only to specific Property, (C) such Liens do not attach to any other Property of Holdings or any of its Subsidiaries and (D) the Indebtedness secured by such Liens is permitted under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of this Agreement).</w:t>
      </w:r>
    </w:p>
    <w:p>
      <w:pPr>
        <w:spacing w:after="0" w:line="177" w:lineRule="exact"/>
        <w:rPr>
          <w:rFonts w:ascii="Arial" w:cs="Arial" w:eastAsia="Arial" w:hAnsi="Arial"/>
          <w:sz w:val="17"/>
          <w:szCs w:val="17"/>
          <w:color w:val="auto"/>
        </w:rPr>
      </w:pPr>
    </w:p>
    <w:p>
      <w:pPr>
        <w:jc w:val="both"/>
        <w:ind w:left="4" w:firstLine="644"/>
        <w:spacing w:after="0" w:line="311" w:lineRule="auto"/>
        <w:tabs>
          <w:tab w:leader="none" w:pos="140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 Liens of a collecting bank arising in the ordinary course of business under Section 4- 210 of the Uniform Commercial Code in effect in the relevant jurisdiction and (ii) Liens of any depositary bank in connection with statutory, common law and contractual rights of set-off and recoupment with respect to any deposit account of the Borrower or any Subsidiary thereof;</w:t>
      </w:r>
    </w:p>
    <w:p>
      <w:pPr>
        <w:spacing w:after="0" w:line="181" w:lineRule="exact"/>
        <w:rPr>
          <w:rFonts w:ascii="Arial" w:cs="Arial" w:eastAsia="Arial" w:hAnsi="Arial"/>
          <w:sz w:val="18"/>
          <w:szCs w:val="18"/>
          <w:color w:val="auto"/>
        </w:rPr>
      </w:pPr>
    </w:p>
    <w:p>
      <w:pPr>
        <w:ind w:left="4" w:firstLine="644"/>
        <w:spacing w:after="0" w:line="395" w:lineRule="auto"/>
        <w:tabs>
          <w:tab w:leader="none" w:pos="136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 contractual or statutory Liens of landlords to the extent relating to the property and assets relating to any lease agreements with such landlord, (ii) contractual Liens of suppliers (including sellers of goods) or customers granted in the ordinary course of business to the extent limited to the</w:t>
      </w:r>
    </w:p>
    <w:p>
      <w:pPr>
        <w:spacing w:after="0" w:line="34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4"/>
          </w:cols>
          <w:pgMar w:left="356" w:top="611" w:right="239" w:bottom="1440" w:gutter="0" w:footer="0" w:header="0"/>
        </w:sectPr>
      </w:pPr>
    </w:p>
    <w:bookmarkStart w:id="145" w:name="page146"/>
    <w:bookmarkEnd w:id="145"/>
    <w:p>
      <w:pPr>
        <w:jc w:val="both"/>
        <w:ind w:left="4"/>
        <w:spacing w:after="0" w:line="279" w:lineRule="auto"/>
        <w:rPr>
          <w:sz w:val="20"/>
          <w:szCs w:val="20"/>
          <w:color w:val="auto"/>
        </w:rPr>
      </w:pPr>
      <w:r>
        <w:rPr>
          <w:rFonts w:ascii="Arial" w:cs="Arial" w:eastAsia="Arial" w:hAnsi="Arial"/>
          <w:sz w:val="17"/>
          <w:szCs w:val="17"/>
          <w:color w:val="auto"/>
        </w:rPr>
        <w:t>property or assets relating to such contract, (iii) Liens in favor of a landlord to secure Holdings’ or its Subsidiaries’ obligations to pay rent, which Lien is (A) limited to the leasehold interest, fixtures and personal property located at such Restaurant, (B) senior to Agent’s security interest in the leasehold and fixtures, and (C) subordinate to Agent’s security interest in the personal property (including equipment) located at such Restaurant (other than tangible personal property having an aggregate value not to exceed 5% of Consolidated Assets for all such Restaurants);</w:t>
      </w:r>
    </w:p>
    <w:p>
      <w:pPr>
        <w:spacing w:after="0" w:line="212" w:lineRule="exact"/>
        <w:rPr>
          <w:sz w:val="20"/>
          <w:szCs w:val="20"/>
          <w:color w:val="auto"/>
        </w:rPr>
      </w:pPr>
    </w:p>
    <w:p>
      <w:pPr>
        <w:ind w:left="4" w:firstLine="644"/>
        <w:spacing w:after="0" w:line="297" w:lineRule="auto"/>
        <w:tabs>
          <w:tab w:leader="none" w:pos="145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interest or title of a licensor, sublicensor, lessor or sublessor with respect to any assets under any license or lease agreement entered into in the ordinary course of business which do not</w:t>
      </w:r>
    </w:p>
    <w:p>
      <w:pPr>
        <w:ind w:left="4" w:hanging="4"/>
        <w:spacing w:after="0" w:line="324" w:lineRule="auto"/>
        <w:tabs>
          <w:tab w:leader="none" w:pos="71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interfere in any material respect with the business of Holdings or its Subsidiaries or materially detract from the value of the relevant assets of Holdings or its Subsidiaries or (ii) secure any Indebtedness;</w:t>
      </w:r>
    </w:p>
    <w:p>
      <w:pPr>
        <w:spacing w:after="0" w:line="170" w:lineRule="exact"/>
        <w:rPr>
          <w:rFonts w:ascii="Arial" w:cs="Arial" w:eastAsia="Arial" w:hAnsi="Arial"/>
          <w:sz w:val="18"/>
          <w:szCs w:val="18"/>
          <w:color w:val="auto"/>
        </w:rPr>
      </w:pPr>
    </w:p>
    <w:p>
      <w:pPr>
        <w:ind w:left="1404" w:hanging="756"/>
        <w:spacing w:after="0"/>
        <w:tabs>
          <w:tab w:leader="none" w:pos="140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interests of lessors under operating leases and licensors under nonexclusive license agreements or Permitted Exclusive Licenses;</w:t>
      </w:r>
    </w:p>
    <w:p>
      <w:pPr>
        <w:spacing w:after="0" w:line="302" w:lineRule="exact"/>
        <w:rPr>
          <w:rFonts w:ascii="Arial" w:cs="Arial" w:eastAsia="Arial" w:hAnsi="Arial"/>
          <w:sz w:val="16"/>
          <w:szCs w:val="16"/>
          <w:color w:val="auto"/>
        </w:rPr>
      </w:pPr>
    </w:p>
    <w:p>
      <w:pPr>
        <w:ind w:left="4" w:firstLine="644"/>
        <w:spacing w:after="0" w:line="324" w:lineRule="auto"/>
        <w:tabs>
          <w:tab w:leader="none" w:pos="140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Liens granted in the ordinary course of business on the unearned portion of insurance premiums securing the financing of insurance premiums to the extent the financing is permitted by </w:t>
      </w:r>
      <w:r>
        <w:rPr>
          <w:rFonts w:ascii="Arial" w:cs="Arial" w:eastAsia="Arial" w:hAnsi="Arial"/>
          <w:sz w:val="18"/>
          <w:szCs w:val="18"/>
          <w:u w:val="single" w:color="auto"/>
          <w:color w:val="auto"/>
        </w:rPr>
        <w:t>Section 9.1(k)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20" w:firstLine="644"/>
        <w:spacing w:after="0" w:line="324" w:lineRule="auto"/>
        <w:tabs>
          <w:tab w:leader="none" w:pos="140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83" w:lineRule="exact"/>
        <w:rPr>
          <w:rFonts w:ascii="Arial" w:cs="Arial" w:eastAsia="Arial" w:hAnsi="Arial"/>
          <w:sz w:val="18"/>
          <w:szCs w:val="18"/>
          <w:color w:val="auto"/>
        </w:rPr>
      </w:pPr>
    </w:p>
    <w:p>
      <w:pPr>
        <w:ind w:left="4" w:firstLine="644"/>
        <w:spacing w:after="0" w:line="324" w:lineRule="auto"/>
        <w:tabs>
          <w:tab w:leader="none" w:pos="140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Holdings or any of its Subsidiaries in connection with any letter of intent or purchase agreement with respect to a Permitted Acquisition;</w:t>
      </w:r>
    </w:p>
    <w:p>
      <w:pPr>
        <w:spacing w:after="0" w:line="183" w:lineRule="exact"/>
        <w:rPr>
          <w:rFonts w:ascii="Arial" w:cs="Arial" w:eastAsia="Arial" w:hAnsi="Arial"/>
          <w:sz w:val="18"/>
          <w:szCs w:val="18"/>
          <w:color w:val="auto"/>
        </w:rPr>
      </w:pPr>
    </w:p>
    <w:p>
      <w:pPr>
        <w:jc w:val="both"/>
        <w:ind w:left="4" w:firstLine="644"/>
        <w:spacing w:after="0" w:line="346" w:lineRule="auto"/>
        <w:tabs>
          <w:tab w:leader="none" w:pos="1372"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Liens on liquor licenses in favor of a landlord (i) to secure Holdings’ or its Subsidiaries’ obligations to pay rent, or (ii) in the form of a purchase right or any similar Lien in connection with the transfer of such liquor license from a landlord to Holdings or such Subsidiary as part of a leasing arrangement, which Liens in each case (x) are limited to the liquor license applicable to the Restaurant location being leased from such landlord and (y) may be senior to Administrative Agent’s security interest in such liquor license;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of the type described in this clause (r), (A) shall not apply to more than 30 Restaurant locations at any time and (B) shall not be permitted to the extent that the aggregate Store Operating Cash Flow for such Restaurants for any period exceeds 5.0% of the aggregate Store Operating Cash Flow for all Restaurants operated by Holdings and its Subsidiaries; and</w:t>
      </w:r>
    </w:p>
    <w:p>
      <w:pPr>
        <w:spacing w:after="0" w:line="164" w:lineRule="exact"/>
        <w:rPr>
          <w:sz w:val="20"/>
          <w:szCs w:val="20"/>
          <w:color w:val="auto"/>
        </w:rPr>
      </w:pPr>
    </w:p>
    <w:p>
      <w:pPr>
        <w:ind w:left="-36" w:firstLine="657"/>
        <w:spacing w:after="0" w:line="324" w:lineRule="auto"/>
        <w:tabs>
          <w:tab w:leader="none" w:pos="135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not otherwise permitted hereunder on assets other than the Collateral securing Indebtedness or other obligations in the aggregate principal amount not to exceed $25,000,000 at any time outstanding.</w:t>
      </w:r>
    </w:p>
    <w:p>
      <w:pPr>
        <w:spacing w:after="0" w:line="143" w:lineRule="exact"/>
        <w:rPr>
          <w:sz w:val="20"/>
          <w:szCs w:val="20"/>
          <w:color w:val="auto"/>
        </w:rPr>
      </w:pPr>
    </w:p>
    <w:p>
      <w:pPr>
        <w:jc w:val="both"/>
        <w:ind w:left="4" w:firstLine="648"/>
        <w:spacing w:after="0" w:line="27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Purchase, own,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or permit to exist, directly or indirectly, any loans, advances or extensions of credit to, or any investment in cash or by delivery of Property in, any Person (all the foregoing, “</w:t>
      </w:r>
      <w:r>
        <w:rPr>
          <w:rFonts w:ascii="Arial" w:cs="Arial" w:eastAsia="Arial" w:hAnsi="Arial"/>
          <w:sz w:val="17"/>
          <w:szCs w:val="17"/>
          <w:u w:val="single" w:color="auto"/>
          <w:color w:val="auto"/>
        </w:rPr>
        <w:t>Investments”</w:t>
      </w:r>
      <w:r>
        <w:rPr>
          <w:rFonts w:ascii="Arial" w:cs="Arial" w:eastAsia="Arial" w:hAnsi="Arial"/>
          <w:sz w:val="17"/>
          <w:szCs w:val="17"/>
          <w:color w:val="auto"/>
        </w:rPr>
        <w:t>) except:</w:t>
      </w:r>
    </w:p>
    <w:p>
      <w:pPr>
        <w:spacing w:after="0" w:line="200" w:lineRule="exact"/>
        <w:rPr>
          <w:sz w:val="20"/>
          <w:szCs w:val="20"/>
          <w:color w:val="auto"/>
        </w:rPr>
      </w:pPr>
    </w:p>
    <w:p>
      <w:pPr>
        <w:ind w:left="1384" w:hanging="736"/>
        <w:spacing w:after="0"/>
        <w:tabs>
          <w:tab w:leader="none" w:pos="138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Investments existing on the Closing Date in Subsidiaries existing on the Closing Date;</w:t>
      </w:r>
    </w:p>
    <w:p>
      <w:pPr>
        <w:spacing w:after="0" w:line="265" w:lineRule="exact"/>
        <w:rPr>
          <w:rFonts w:ascii="Arial" w:cs="Arial" w:eastAsia="Arial" w:hAnsi="Arial"/>
          <w:sz w:val="18"/>
          <w:szCs w:val="18"/>
          <w:color w:val="auto"/>
        </w:rPr>
      </w:pPr>
    </w:p>
    <w:p>
      <w:pPr>
        <w:ind w:left="644" w:firstLine="653"/>
        <w:spacing w:after="0" w:line="324" w:lineRule="auto"/>
        <w:tabs>
          <w:tab w:leader="none" w:pos="20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Investments existing on the Closing Date (other than Investments in Subsidiaries existing on the Closing Date) and described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Disclosure Letter;</w:t>
      </w:r>
    </w:p>
    <w:p>
      <w:pPr>
        <w:spacing w:after="0" w:line="170" w:lineRule="exact"/>
        <w:rPr>
          <w:rFonts w:ascii="Arial" w:cs="Arial" w:eastAsia="Arial" w:hAnsi="Arial"/>
          <w:sz w:val="18"/>
          <w:szCs w:val="18"/>
          <w:color w:val="auto"/>
        </w:rPr>
      </w:pPr>
    </w:p>
    <w:p>
      <w:pPr>
        <w:jc w:val="both"/>
        <w:ind w:left="644" w:firstLine="653"/>
        <w:spacing w:after="0" w:line="311" w:lineRule="auto"/>
        <w:tabs>
          <w:tab w:leader="none" w:pos="210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Investments made after the Closing Date by any Credit Party in any other Credit Party (other than Holdings) or in any other Domestic Subsidiary (and Investments by any Credit Party in any of its Subsidiaries in order to maintain a minimum net capital or as may otherwise be required by law);</w:t>
      </w:r>
    </w:p>
    <w:p>
      <w:pPr>
        <w:spacing w:after="0" w:line="194" w:lineRule="exact"/>
        <w:rPr>
          <w:rFonts w:ascii="Arial" w:cs="Arial" w:eastAsia="Arial" w:hAnsi="Arial"/>
          <w:sz w:val="18"/>
          <w:szCs w:val="18"/>
          <w:color w:val="auto"/>
        </w:rPr>
      </w:pPr>
    </w:p>
    <w:p>
      <w:pPr>
        <w:ind w:left="2104" w:hanging="807"/>
        <w:spacing w:after="0"/>
        <w:tabs>
          <w:tab w:leader="none" w:pos="2104"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Investments made after the Closing Date by any Non-Guarantor Subsidiary in any other Non-Guarantor Subsidiary; and</w:t>
      </w:r>
    </w:p>
    <w:p>
      <w:pPr>
        <w:spacing w:after="0" w:line="290" w:lineRule="exact"/>
        <w:rPr>
          <w:rFonts w:ascii="Arial" w:cs="Arial" w:eastAsia="Arial" w:hAnsi="Arial"/>
          <w:sz w:val="17"/>
          <w:szCs w:val="17"/>
          <w:color w:val="auto"/>
        </w:rPr>
      </w:pPr>
    </w:p>
    <w:p>
      <w:pPr>
        <w:ind w:left="2044" w:hanging="747"/>
        <w:spacing w:after="0"/>
        <w:tabs>
          <w:tab w:leader="none" w:pos="204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Investments made after the Closing Date by any Non-Guarantor Subsidiary in any Credit Party;</w:t>
      </w:r>
    </w:p>
    <w:p>
      <w:pPr>
        <w:spacing w:after="0" w:line="252" w:lineRule="exact"/>
        <w:rPr>
          <w:rFonts w:ascii="Arial" w:cs="Arial" w:eastAsia="Arial" w:hAnsi="Arial"/>
          <w:sz w:val="18"/>
          <w:szCs w:val="18"/>
          <w:color w:val="auto"/>
        </w:rPr>
      </w:pPr>
    </w:p>
    <w:p>
      <w:pPr>
        <w:ind w:left="1304" w:hanging="656"/>
        <w:spacing w:after="0"/>
        <w:tabs>
          <w:tab w:leader="none" w:pos="130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ectPr>
          <w:pgSz w:w="11900" w:h="16838" w:orient="portrait"/>
          <w:cols w:equalWidth="0" w:num="1">
            <w:col w:w="11304"/>
          </w:cols>
          <w:pgMar w:left="356" w:top="652"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16"/>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04"/>
          </w:cols>
          <w:pgMar w:left="356" w:top="652" w:right="239" w:bottom="1440" w:gutter="0" w:footer="0" w:header="0"/>
          <w:type w:val="continuous"/>
        </w:sectPr>
      </w:pPr>
    </w:p>
    <w:bookmarkStart w:id="146" w:name="page147"/>
    <w:bookmarkEnd w:id="146"/>
    <w:p>
      <w:pPr>
        <w:ind w:left="1384" w:hanging="736"/>
        <w:spacing w:after="0"/>
        <w:tabs>
          <w:tab w:leader="none" w:pos="138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Investments by the Borrower or any of its Subsidiaries consisting of Capital Expenditures permitted by this Agreement;</w:t>
      </w:r>
    </w:p>
    <w:p>
      <w:pPr>
        <w:spacing w:after="0" w:line="279" w:lineRule="exact"/>
        <w:rPr>
          <w:rFonts w:ascii="Arial" w:cs="Arial" w:eastAsia="Arial" w:hAnsi="Arial"/>
          <w:sz w:val="18"/>
          <w:szCs w:val="18"/>
          <w:color w:val="auto"/>
        </w:rPr>
      </w:pPr>
    </w:p>
    <w:p>
      <w:pPr>
        <w:ind w:left="1404" w:hanging="756"/>
        <w:spacing w:after="0"/>
        <w:tabs>
          <w:tab w:leader="none" w:pos="140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deposits made in the ordinary course of business to secure the performance of leases or other obligations as permitted by </w:t>
      </w:r>
      <w:r>
        <w:rPr>
          <w:rFonts w:ascii="Arial" w:cs="Arial" w:eastAsia="Arial" w:hAnsi="Arial"/>
          <w:sz w:val="16"/>
          <w:szCs w:val="16"/>
          <w:u w:val="single" w:color="auto"/>
          <w:color w:val="auto"/>
        </w:rPr>
        <w:t>Section 9.2;</w:t>
      </w:r>
    </w:p>
    <w:p>
      <w:pPr>
        <w:spacing w:after="0" w:line="261" w:lineRule="exact"/>
        <w:rPr>
          <w:rFonts w:ascii="Arial" w:cs="Arial" w:eastAsia="Arial" w:hAnsi="Arial"/>
          <w:sz w:val="16"/>
          <w:szCs w:val="16"/>
          <w:color w:val="auto"/>
        </w:rPr>
      </w:pPr>
    </w:p>
    <w:p>
      <w:pPr>
        <w:ind w:left="1304" w:hanging="656"/>
        <w:spacing w:after="0"/>
        <w:tabs>
          <w:tab w:leader="none" w:pos="13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Hedge Agreements permitted pursuant to </w:t>
      </w:r>
      <w:r>
        <w:rPr>
          <w:rFonts w:ascii="Arial" w:cs="Arial" w:eastAsia="Arial" w:hAnsi="Arial"/>
          <w:sz w:val="18"/>
          <w:szCs w:val="18"/>
          <w:u w:val="single" w:color="auto"/>
          <w:color w:val="auto"/>
        </w:rPr>
        <w:t>Section 9.1;</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purchases of assets in the ordinary course of business;</w:t>
      </w:r>
    </w:p>
    <w:p>
      <w:pPr>
        <w:spacing w:after="0" w:line="252" w:lineRule="exact"/>
        <w:rPr>
          <w:rFonts w:ascii="Arial" w:cs="Arial" w:eastAsia="Arial" w:hAnsi="Arial"/>
          <w:sz w:val="18"/>
          <w:szCs w:val="18"/>
          <w:color w:val="auto"/>
        </w:rPr>
      </w:pPr>
    </w:p>
    <w:p>
      <w:pPr>
        <w:ind w:left="1404" w:hanging="756"/>
        <w:spacing w:after="0"/>
        <w:tabs>
          <w:tab w:leader="none" w:pos="14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Investments by the Borrower or any Subsidiary thereof in the form of Permitted Acquisitions;</w:t>
      </w:r>
    </w:p>
    <w:p>
      <w:pPr>
        <w:spacing w:after="0" w:line="279" w:lineRule="exact"/>
        <w:rPr>
          <w:rFonts w:ascii="Arial" w:cs="Arial" w:eastAsia="Arial" w:hAnsi="Arial"/>
          <w:sz w:val="18"/>
          <w:szCs w:val="18"/>
          <w:color w:val="auto"/>
        </w:rPr>
      </w:pPr>
    </w:p>
    <w:p>
      <w:pPr>
        <w:jc w:val="both"/>
        <w:ind w:left="4" w:firstLine="644"/>
        <w:spacing w:after="0" w:line="334" w:lineRule="auto"/>
        <w:tabs>
          <w:tab w:leader="none" w:pos="140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Investments in the form of loans and advances to officers, directors and employees (A) in the ordinary course of business in an aggregate amount not to exceed at any time outstanding $1,000,000 (determined without regard to any write-downs or write-offs of such loans or advances) and (B) for the purpose of purchasing Equity Interests in Holdings so long as the proceeds of such loans are used in their entirety to purchase such Equity Interests in</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an aggregate amount not to exceed at any time outstanding</w:t>
      </w:r>
    </w:p>
    <w:p>
      <w:pPr>
        <w:spacing w:after="0" w:line="2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$1,000,000 (determined without regard to any write-downs or write-offs of such loans or advances);</w:t>
      </w:r>
    </w:p>
    <w:p>
      <w:pPr>
        <w:spacing w:after="0" w:line="224" w:lineRule="exact"/>
        <w:rPr>
          <w:rFonts w:ascii="Arial" w:cs="Arial" w:eastAsia="Arial" w:hAnsi="Arial"/>
          <w:sz w:val="16"/>
          <w:szCs w:val="16"/>
          <w:color w:val="auto"/>
        </w:rPr>
      </w:pPr>
    </w:p>
    <w:p>
      <w:pPr>
        <w:ind w:left="1304" w:hanging="656"/>
        <w:spacing w:after="0"/>
        <w:tabs>
          <w:tab w:leader="none" w:pos="13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Investments in the form of Restricted Payments permitted pursuant to </w:t>
      </w:r>
      <w:r>
        <w:rPr>
          <w:rFonts w:ascii="Arial" w:cs="Arial" w:eastAsia="Arial" w:hAnsi="Arial"/>
          <w:sz w:val="18"/>
          <w:szCs w:val="18"/>
          <w:u w:val="single" w:color="auto"/>
          <w:color w:val="auto"/>
        </w:rPr>
        <w:t>Section 9.6;</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Guaranty Obligations permitted pursuant to </w:t>
      </w:r>
      <w:r>
        <w:rPr>
          <w:rFonts w:ascii="Arial" w:cs="Arial" w:eastAsia="Arial" w:hAnsi="Arial"/>
          <w:sz w:val="18"/>
          <w:szCs w:val="18"/>
          <w:u w:val="single" w:color="auto"/>
          <w:color w:val="auto"/>
        </w:rPr>
        <w:t>Section 9.1(f);</w:t>
      </w:r>
    </w:p>
    <w:p>
      <w:pPr>
        <w:spacing w:after="0" w:line="252" w:lineRule="exact"/>
        <w:rPr>
          <w:rFonts w:ascii="Arial" w:cs="Arial" w:eastAsia="Arial" w:hAnsi="Arial"/>
          <w:sz w:val="18"/>
          <w:szCs w:val="18"/>
          <w:color w:val="auto"/>
        </w:rPr>
      </w:pPr>
    </w:p>
    <w:p>
      <w:pPr>
        <w:ind w:left="1404" w:hanging="756"/>
        <w:spacing w:after="0"/>
        <w:tabs>
          <w:tab w:leader="none" w:pos="14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Investments in negotiable instruments deposited or to be deposited for collection in the ordinary course of business;</w:t>
      </w:r>
    </w:p>
    <w:p>
      <w:pPr>
        <w:spacing w:after="0" w:line="279" w:lineRule="exact"/>
        <w:rPr>
          <w:rFonts w:ascii="Arial" w:cs="Arial" w:eastAsia="Arial" w:hAnsi="Arial"/>
          <w:sz w:val="18"/>
          <w:szCs w:val="18"/>
          <w:color w:val="auto"/>
        </w:rPr>
      </w:pPr>
    </w:p>
    <w:p>
      <w:pPr>
        <w:ind w:left="1364" w:hanging="716"/>
        <w:spacing w:after="0"/>
        <w:tabs>
          <w:tab w:leader="none" w:pos="136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advances made in connection with purchases of goods or services in the ordinary course of business;</w:t>
      </w:r>
    </w:p>
    <w:p>
      <w:pPr>
        <w:spacing w:after="0" w:line="265" w:lineRule="exact"/>
        <w:rPr>
          <w:rFonts w:ascii="Arial" w:cs="Arial" w:eastAsia="Arial" w:hAnsi="Arial"/>
          <w:sz w:val="18"/>
          <w:szCs w:val="18"/>
          <w:color w:val="auto"/>
        </w:rPr>
      </w:pPr>
    </w:p>
    <w:p>
      <w:pPr>
        <w:jc w:val="both"/>
        <w:ind w:left="4" w:firstLine="644"/>
        <w:spacing w:after="0" w:line="297" w:lineRule="auto"/>
        <w:tabs>
          <w:tab w:leader="none" w:pos="145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Investments received in settlement of amounts due to any Credit Party or any of its Subsidiaries effected in the ordinary course of business or owing to any Credit Party or any of its Subsidiaries as a result of insolvency proceedings involving an account debtor or upon the foreclosure or enforcement of any Lien in favor of a Credit Party or its Subsidiaries;</w:t>
      </w:r>
    </w:p>
    <w:p>
      <w:pPr>
        <w:spacing w:after="0" w:line="1" w:lineRule="exact"/>
        <w:rPr>
          <w:rFonts w:ascii="Arial" w:cs="Arial" w:eastAsia="Arial" w:hAnsi="Arial"/>
          <w:sz w:val="18"/>
          <w:szCs w:val="18"/>
          <w:color w:val="auto"/>
        </w:rPr>
      </w:pPr>
    </w:p>
    <w:p>
      <w:pPr>
        <w:jc w:val="both"/>
        <w:ind w:left="4" w:firstLine="644"/>
        <w:spacing w:after="0" w:line="311" w:lineRule="auto"/>
        <w:tabs>
          <w:tab w:leader="none" w:pos="140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Equity Interests or other securities acquired in connection with the satisfaction or enforcement of Indebtedness or claims due or owing to a Credit Party or its Subsidiaries (in bankruptcy of customers or suppliers or otherwise outside the ordinary course of business) or as security for any such Indebtedness or claims;</w:t>
      </w:r>
    </w:p>
    <w:p>
      <w:pPr>
        <w:spacing w:after="0" w:line="167" w:lineRule="exact"/>
        <w:rPr>
          <w:rFonts w:ascii="Arial" w:cs="Arial" w:eastAsia="Arial" w:hAnsi="Arial"/>
          <w:sz w:val="18"/>
          <w:szCs w:val="18"/>
          <w:color w:val="auto"/>
        </w:rPr>
      </w:pPr>
    </w:p>
    <w:p>
      <w:pPr>
        <w:ind w:left="1304" w:hanging="656"/>
        <w:spacing w:after="0"/>
        <w:tabs>
          <w:tab w:leader="none" w:pos="13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Investments resulting from entering into (i) Cash Management Agreements, or</w:t>
      </w:r>
    </w:p>
    <w:p>
      <w:pPr>
        <w:spacing w:after="0" w:line="23" w:lineRule="exact"/>
        <w:rPr>
          <w:rFonts w:ascii="Arial" w:cs="Arial" w:eastAsia="Arial" w:hAnsi="Arial"/>
          <w:sz w:val="18"/>
          <w:szCs w:val="18"/>
          <w:color w:val="auto"/>
        </w:rPr>
      </w:pPr>
    </w:p>
    <w:p>
      <w:pPr>
        <w:ind w:left="264" w:hanging="264"/>
        <w:spacing w:after="0"/>
        <w:tabs>
          <w:tab w:leader="none" w:pos="26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agreements relative to Indebtedness that is permitted under </w:t>
      </w:r>
      <w:r>
        <w:rPr>
          <w:rFonts w:ascii="Arial" w:cs="Arial" w:eastAsia="Arial" w:hAnsi="Arial"/>
          <w:sz w:val="18"/>
          <w:szCs w:val="18"/>
          <w:u w:val="single" w:color="auto"/>
          <w:color w:val="auto"/>
        </w:rPr>
        <w:t>Section 9.1(l);</w:t>
      </w:r>
    </w:p>
    <w:p>
      <w:pPr>
        <w:spacing w:after="0" w:line="237" w:lineRule="exact"/>
        <w:rPr>
          <w:rFonts w:ascii="Arial" w:cs="Arial" w:eastAsia="Arial" w:hAnsi="Arial"/>
          <w:sz w:val="18"/>
          <w:szCs w:val="18"/>
          <w:color w:val="auto"/>
        </w:rPr>
      </w:pPr>
    </w:p>
    <w:p>
      <w:pPr>
        <w:ind w:left="4" w:right="20" w:firstLine="644"/>
        <w:spacing w:after="0" w:line="324" w:lineRule="auto"/>
        <w:tabs>
          <w:tab w:leader="none" w:pos="140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83" w:lineRule="exact"/>
        <w:rPr>
          <w:rFonts w:ascii="Arial" w:cs="Arial" w:eastAsia="Arial" w:hAnsi="Arial"/>
          <w:sz w:val="18"/>
          <w:szCs w:val="18"/>
          <w:color w:val="auto"/>
        </w:rPr>
      </w:pPr>
    </w:p>
    <w:p>
      <w:pPr>
        <w:ind w:left="4" w:firstLine="644"/>
        <w:spacing w:after="0" w:line="324" w:lineRule="auto"/>
        <w:tabs>
          <w:tab w:leader="none" w:pos="140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Investments arising out of the receipt by Borrower or any of its Subsidiaries of non-cash consideration in connection with any Asset Disposition permitted by </w:t>
      </w:r>
      <w:r>
        <w:rPr>
          <w:rFonts w:ascii="Arial" w:cs="Arial" w:eastAsia="Arial" w:hAnsi="Arial"/>
          <w:sz w:val="18"/>
          <w:szCs w:val="18"/>
          <w:u w:val="single" w:color="auto"/>
          <w:color w:val="auto"/>
        </w:rPr>
        <w:t>Section 9.5;</w:t>
      </w:r>
    </w:p>
    <w:p>
      <w:pPr>
        <w:spacing w:after="0" w:line="170" w:lineRule="exact"/>
        <w:rPr>
          <w:rFonts w:ascii="Arial" w:cs="Arial" w:eastAsia="Arial" w:hAnsi="Arial"/>
          <w:sz w:val="18"/>
          <w:szCs w:val="18"/>
          <w:color w:val="auto"/>
        </w:rPr>
      </w:pPr>
    </w:p>
    <w:p>
      <w:pPr>
        <w:ind w:left="4" w:firstLine="644"/>
        <w:spacing w:after="0" w:line="324" w:lineRule="auto"/>
        <w:tabs>
          <w:tab w:leader="none" w:pos="137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Investments in “rabbi trusts” made by any Credit Party (other than Holdings) in connection with executive deferred compensation arrangements entered into by such Credit Party in the ordinary course of business; and</w:t>
      </w:r>
    </w:p>
    <w:p>
      <w:pPr>
        <w:spacing w:after="0" w:line="170" w:lineRule="exact"/>
        <w:rPr>
          <w:rFonts w:ascii="Arial" w:cs="Arial" w:eastAsia="Arial" w:hAnsi="Arial"/>
          <w:sz w:val="18"/>
          <w:szCs w:val="18"/>
          <w:color w:val="auto"/>
        </w:rPr>
      </w:pPr>
    </w:p>
    <w:p>
      <w:pPr>
        <w:jc w:val="both"/>
        <w:ind w:left="4" w:firstLine="644"/>
        <w:spacing w:after="0" w:line="311" w:lineRule="auto"/>
        <w:tabs>
          <w:tab w:leader="none" w:pos="138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Investments not otherwise permitted pursuant to this Section in an aggregate amount not to exceed $30,000,000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pro forma effect to any such Investments, no Default or Event of Default shall have occurred and be continuing.</w:t>
      </w:r>
    </w:p>
    <w:p>
      <w:pPr>
        <w:spacing w:after="0" w:line="154" w:lineRule="exact"/>
        <w:rPr>
          <w:sz w:val="20"/>
          <w:szCs w:val="20"/>
          <w:color w:val="auto"/>
        </w:rPr>
      </w:pPr>
    </w:p>
    <w:p>
      <w:pPr>
        <w:jc w:val="both"/>
        <w:ind w:left="4"/>
        <w:spacing w:after="0" w:line="312" w:lineRule="auto"/>
        <w:rPr>
          <w:sz w:val="20"/>
          <w:szCs w:val="20"/>
          <w:color w:val="auto"/>
        </w:rPr>
      </w:pPr>
      <w:r>
        <w:rPr>
          <w:rFonts w:ascii="Arial" w:cs="Arial" w:eastAsia="Arial" w:hAnsi="Arial"/>
          <w:sz w:val="16"/>
          <w:szCs w:val="16"/>
          <w:color w:val="auto"/>
        </w:rPr>
        <w:t xml:space="preserve">For purposes of determining the amount of any Investment outstanding for purposes of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any amount realized in respect of such Investment upon the sale, collection or return of capital (not to exceed the original amount invested).</w:t>
      </w:r>
    </w:p>
    <w:p>
      <w:pPr>
        <w:spacing w:after="0" w:line="14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Merge, consolidate or enter into any similar combination with, or enter into any</w:t>
      </w:r>
    </w:p>
    <w:p>
      <w:pPr>
        <w:spacing w:after="0" w:line="25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4"/>
          </w:cols>
          <w:pgMar w:left="356" w:top="611" w:right="239" w:bottom="1440" w:gutter="0" w:footer="0" w:header="0"/>
        </w:sectPr>
      </w:pPr>
    </w:p>
    <w:bookmarkStart w:id="147" w:name="page148"/>
    <w:bookmarkEnd w:id="147"/>
    <w:p>
      <w:pPr>
        <w:ind w:left="4"/>
        <w:spacing w:after="0" w:line="277" w:lineRule="auto"/>
        <w:rPr>
          <w:sz w:val="20"/>
          <w:szCs w:val="20"/>
          <w:color w:val="auto"/>
        </w:rPr>
      </w:pPr>
      <w:r>
        <w:rPr>
          <w:rFonts w:ascii="Arial" w:cs="Arial" w:eastAsia="Arial" w:hAnsi="Arial"/>
          <w:sz w:val="18"/>
          <w:szCs w:val="18"/>
          <w:color w:val="auto"/>
        </w:rPr>
        <w:t>Asset Disposition of all or substantially all of its assets (whether in a single transaction or a series of transactions) with, any other Person or liquidate, wind-up or dissolve itself (or suffer any liquidation or dissolution) except:</w:t>
      </w:r>
    </w:p>
    <w:p>
      <w:pPr>
        <w:spacing w:after="0" w:line="197" w:lineRule="exact"/>
        <w:rPr>
          <w:sz w:val="20"/>
          <w:szCs w:val="20"/>
          <w:color w:val="auto"/>
        </w:rPr>
      </w:pPr>
    </w:p>
    <w:p>
      <w:pPr>
        <w:jc w:val="both"/>
        <w:ind w:left="4" w:firstLine="644"/>
        <w:spacing w:after="0" w:line="304" w:lineRule="auto"/>
        <w:tabs>
          <w:tab w:leader="none" w:pos="139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 any Wholly-Owned Subsidiary of the Borrower may be merged, amalgamated or consolidated with or into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entity) or (ii) any Wholly-Owned Subsidiary of the Borrower may be merged, amalgamated or consolidated with or into any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Subsidiary Guarantor shall be the continuing or surviving entity or simultaneously with such transaction or the continuing or surviving entity shall become a Subsidiary Guarantor and the Borrower shall comply with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in connection therewith);</w:t>
      </w:r>
    </w:p>
    <w:p>
      <w:pPr>
        <w:spacing w:after="0" w:line="188" w:lineRule="exact"/>
        <w:rPr>
          <w:rFonts w:ascii="Arial" w:cs="Arial" w:eastAsia="Arial" w:hAnsi="Arial"/>
          <w:sz w:val="18"/>
          <w:szCs w:val="18"/>
          <w:color w:val="auto"/>
        </w:rPr>
      </w:pPr>
    </w:p>
    <w:p>
      <w:pPr>
        <w:ind w:left="4" w:firstLine="644"/>
        <w:spacing w:after="0" w:line="282" w:lineRule="auto"/>
        <w:tabs>
          <w:tab w:leader="none" w:pos="140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 any Non-Guarantor Subsidiary that is a Foreign Subsidiary may be merged, amalgamated or consolidated with or into, or be liquidated into, any other Non-Guarantor Subsidiary and</w:t>
      </w:r>
    </w:p>
    <w:p>
      <w:pPr>
        <w:ind w:left="4" w:right="20" w:hanging="4"/>
        <w:spacing w:after="0" w:line="265" w:lineRule="auto"/>
        <w:tabs>
          <w:tab w:leader="none" w:pos="27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Non-Guarantor Subsidiary that is a Domestic Subsidiary may be merged, amalgamated or consolidated with or into, or be liquidated into, any other Non-Guarantor Subsidiary that is a Domestic Subsidiary;</w:t>
      </w:r>
    </w:p>
    <w:p>
      <w:pPr>
        <w:spacing w:after="0" w:line="1" w:lineRule="exact"/>
        <w:rPr>
          <w:rFonts w:ascii="Arial" w:cs="Arial" w:eastAsia="Arial" w:hAnsi="Arial"/>
          <w:sz w:val="18"/>
          <w:szCs w:val="18"/>
          <w:color w:val="auto"/>
        </w:rPr>
      </w:pPr>
    </w:p>
    <w:p>
      <w:pPr>
        <w:jc w:val="both"/>
        <w:ind w:left="4" w:firstLine="644"/>
        <w:spacing w:after="0" w:line="311" w:lineRule="auto"/>
        <w:tabs>
          <w:tab w:leader="none" w:pos="13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any Subsidiary may dispose of all or substantially all of its assets (upon voluntary liquidation, dissolution, winding up or otherwise) to the Borrower or any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disposition by any Non-Guarantor Subsidiary, the consideration for such disposition shall not exceed the fair value of such assets;</w:t>
      </w:r>
    </w:p>
    <w:p>
      <w:pPr>
        <w:spacing w:after="0" w:line="194" w:lineRule="exact"/>
        <w:rPr>
          <w:rFonts w:ascii="Arial" w:cs="Arial" w:eastAsia="Arial" w:hAnsi="Arial"/>
          <w:sz w:val="18"/>
          <w:szCs w:val="18"/>
          <w:color w:val="auto"/>
        </w:rPr>
      </w:pPr>
    </w:p>
    <w:p>
      <w:pPr>
        <w:jc w:val="both"/>
        <w:ind w:left="4" w:firstLine="644"/>
        <w:spacing w:after="0" w:line="306" w:lineRule="auto"/>
        <w:tabs>
          <w:tab w:leader="none" w:pos="140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 any Non-Guarantor Subsidiary that is a Foreign Subsidiary may dispose of all or substantially all of its assets (upon voluntary liquidation, dissolution, winding up or otherwise) to any other Non-Guarantor Subsidiary and (ii) any Non-Guarantor Subsidiary that is a Domestic Subsidiary may dispose of all or substantially all of its assets (upon voluntary liquidation, dissolution, winding up or otherwise) to any other Non-Guarantor Subsidiary that is a Domestic Subsidiary;</w:t>
      </w:r>
    </w:p>
    <w:p>
      <w:pPr>
        <w:spacing w:after="0" w:line="186" w:lineRule="exact"/>
        <w:rPr>
          <w:rFonts w:ascii="Arial" w:cs="Arial" w:eastAsia="Arial" w:hAnsi="Arial"/>
          <w:sz w:val="18"/>
          <w:szCs w:val="18"/>
          <w:color w:val="auto"/>
        </w:rPr>
      </w:pPr>
    </w:p>
    <w:p>
      <w:pPr>
        <w:jc w:val="both"/>
        <w:ind w:left="4" w:firstLine="644"/>
        <w:spacing w:after="0" w:line="304" w:lineRule="auto"/>
        <w:tabs>
          <w:tab w:leader="none" w:pos="13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any Wholly-Owned Subsidiary of the Borrower may merge with or into the Person such Wholly-Owned Subsidiary was formed to acquire in connection with any acquisition permitted hereunder (including, without limitation, any Permitted Acquisition permitted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9.3(g))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merger involving a Wholly-Owned Subsidiary that is a Domestic Subsidiary, (i) a Subsidiary Guarantor shall be the continuing or surviving entity or (ii) simultaneously with such transaction, the continuing or surviving entity shall become a Subsidiary Guarantor and the Borrower shall comply with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in connection therewith; and</w:t>
      </w:r>
    </w:p>
    <w:p>
      <w:pPr>
        <w:spacing w:after="0" w:line="188" w:lineRule="exact"/>
        <w:rPr>
          <w:rFonts w:ascii="Arial" w:cs="Arial" w:eastAsia="Arial" w:hAnsi="Arial"/>
          <w:sz w:val="18"/>
          <w:szCs w:val="18"/>
          <w:color w:val="auto"/>
        </w:rPr>
      </w:pPr>
    </w:p>
    <w:p>
      <w:pPr>
        <w:jc w:val="both"/>
        <w:ind w:left="4" w:firstLine="644"/>
        <w:spacing w:after="0" w:line="306" w:lineRule="auto"/>
        <w:tabs>
          <w:tab w:leader="none" w:pos="137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any Person may merge into the Borrower or any of its Wholly-Owned Subsidiaries in connection with a Permitted Acquisition permitted pursuant to </w:t>
      </w:r>
      <w:r>
        <w:rPr>
          <w:rFonts w:ascii="Arial" w:cs="Arial" w:eastAsia="Arial" w:hAnsi="Arial"/>
          <w:sz w:val="18"/>
          <w:szCs w:val="18"/>
          <w:u w:val="single" w:color="auto"/>
          <w:color w:val="auto"/>
        </w:rPr>
        <w:t>Section 9.3(g); provided</w:t>
      </w:r>
      <w:r>
        <w:rPr>
          <w:rFonts w:ascii="Arial" w:cs="Arial" w:eastAsia="Arial" w:hAnsi="Arial"/>
          <w:sz w:val="18"/>
          <w:szCs w:val="18"/>
          <w:color w:val="auto"/>
        </w:rPr>
        <w:t xml:space="preserve"> that (i) in the case of a merger involving the Borrower or a Subsidiary Guarantor, the continuing or surviving Person shall be the Borrower or such Subsidiary Guarantor and (ii) the continuing or surviving Person shall be the Borrower or a Wholly-Owned Subsidiary of the Borrower.</w:t>
      </w:r>
    </w:p>
    <w:p>
      <w:pPr>
        <w:spacing w:after="0" w:line="17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Asset Dispositions.</w:t>
      </w:r>
      <w:r>
        <w:rPr>
          <w:rFonts w:ascii="Arial" w:cs="Arial" w:eastAsia="Arial" w:hAnsi="Arial"/>
          <w:sz w:val="18"/>
          <w:szCs w:val="18"/>
          <w:color w:val="auto"/>
        </w:rPr>
        <w:t xml:space="preserve"> Make any Asset Disposition except:</w:t>
      </w:r>
    </w:p>
    <w:p>
      <w:pPr>
        <w:spacing w:after="0" w:line="252" w:lineRule="exact"/>
        <w:rPr>
          <w:sz w:val="20"/>
          <w:szCs w:val="20"/>
          <w:color w:val="auto"/>
        </w:rPr>
      </w:pPr>
    </w:p>
    <w:p>
      <w:pPr>
        <w:ind w:left="1384" w:hanging="736"/>
        <w:spacing w:after="0"/>
        <w:tabs>
          <w:tab w:leader="none" w:pos="138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sale of obsolete, worn-out or surplus assets no longer used or usable in the business of the Borrower or any of its Subsidiaries;</w:t>
      </w:r>
    </w:p>
    <w:p>
      <w:pPr>
        <w:spacing w:after="0" w:line="277" w:lineRule="exact"/>
        <w:rPr>
          <w:rFonts w:ascii="Arial" w:cs="Arial" w:eastAsia="Arial" w:hAnsi="Arial"/>
          <w:sz w:val="17"/>
          <w:szCs w:val="17"/>
          <w:color w:val="auto"/>
        </w:rPr>
      </w:pPr>
    </w:p>
    <w:p>
      <w:pPr>
        <w:ind w:left="4" w:firstLine="644"/>
        <w:spacing w:after="0" w:line="324" w:lineRule="auto"/>
        <w:tabs>
          <w:tab w:leader="none" w:pos="14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non-exclusive licenses and sublicenses of intellectual property rights in the ordinary course of business not interfering, individually or in the aggregate, in any material respect with the conduct of the business of the Borrower and its Subsidiaries;</w:t>
      </w:r>
    </w:p>
    <w:p>
      <w:pPr>
        <w:spacing w:after="0" w:line="170" w:lineRule="exact"/>
        <w:rPr>
          <w:rFonts w:ascii="Arial" w:cs="Arial" w:eastAsia="Arial" w:hAnsi="Arial"/>
          <w:sz w:val="18"/>
          <w:szCs w:val="18"/>
          <w:color w:val="auto"/>
        </w:rPr>
      </w:pPr>
    </w:p>
    <w:p>
      <w:pPr>
        <w:jc w:val="both"/>
        <w:ind w:left="4" w:firstLine="644"/>
        <w:spacing w:after="0" w:line="311" w:lineRule="auto"/>
        <w:tabs>
          <w:tab w:leader="none" w:pos="139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leases, subleases, licenses or sublicenses of real or personal property granted by the Borrower or any of its Subsidiaries to others in the ordinary course of business not detracting from the value of such real or personal property or interfering in any material respect with the business of the Borrower or any of its Subsidiaries;</w:t>
      </w:r>
    </w:p>
    <w:p>
      <w:pPr>
        <w:spacing w:after="0" w:line="181" w:lineRule="exact"/>
        <w:rPr>
          <w:rFonts w:ascii="Arial" w:cs="Arial" w:eastAsia="Arial" w:hAnsi="Arial"/>
          <w:sz w:val="18"/>
          <w:szCs w:val="18"/>
          <w:color w:val="auto"/>
        </w:rPr>
      </w:pPr>
    </w:p>
    <w:p>
      <w:pPr>
        <w:ind w:left="4" w:firstLine="644"/>
        <w:spacing w:after="0" w:line="324" w:lineRule="auto"/>
        <w:tabs>
          <w:tab w:leader="none" w:pos="14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Asset Dispositions in connection with Insurance and Condemnation Events;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are complied with in connection therewith;</w:t>
      </w:r>
    </w:p>
    <w:p>
      <w:pPr>
        <w:spacing w:after="0" w:line="170" w:lineRule="exact"/>
        <w:rPr>
          <w:rFonts w:ascii="Arial" w:cs="Arial" w:eastAsia="Arial" w:hAnsi="Arial"/>
          <w:sz w:val="18"/>
          <w:szCs w:val="18"/>
          <w:color w:val="auto"/>
        </w:rPr>
      </w:pPr>
    </w:p>
    <w:p>
      <w:pPr>
        <w:jc w:val="both"/>
        <w:ind w:left="4" w:firstLine="644"/>
        <w:spacing w:after="0" w:line="311" w:lineRule="auto"/>
        <w:tabs>
          <w:tab w:leader="none" w:pos="139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Refranchising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there shall be no more than 40 Restaurants that are the subject of a Refranchising Sale during any Fiscal Year and (ii) such Refranchising Sales shall be made on commercially reasonable terms and in the ordinary course of Borrower’s or any Subsidiary’s business,</w:t>
      </w:r>
    </w:p>
    <w:p>
      <w:pPr>
        <w:spacing w:after="0" w:line="167" w:lineRule="exact"/>
        <w:rPr>
          <w:rFonts w:ascii="Arial" w:cs="Arial" w:eastAsia="Arial" w:hAnsi="Arial"/>
          <w:sz w:val="18"/>
          <w:szCs w:val="18"/>
          <w:color w:val="auto"/>
        </w:rPr>
      </w:pPr>
    </w:p>
    <w:p>
      <w:pPr>
        <w:ind w:left="1304" w:hanging="656"/>
        <w:spacing w:after="0"/>
        <w:tabs>
          <w:tab w:leader="none" w:pos="130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Assets Dispositions in connection with transactions permitted by </w:t>
      </w:r>
      <w:r>
        <w:rPr>
          <w:rFonts w:ascii="Arial" w:cs="Arial" w:eastAsia="Arial" w:hAnsi="Arial"/>
          <w:sz w:val="18"/>
          <w:szCs w:val="18"/>
          <w:u w:val="single" w:color="auto"/>
          <w:color w:val="auto"/>
        </w:rPr>
        <w:t>Section 9.4;</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sale-leaseback transactions permitted by </w:t>
      </w:r>
      <w:r>
        <w:rPr>
          <w:rFonts w:ascii="Arial" w:cs="Arial" w:eastAsia="Arial" w:hAnsi="Arial"/>
          <w:sz w:val="18"/>
          <w:szCs w:val="18"/>
          <w:u w:val="single" w:color="auto"/>
          <w:color w:val="auto"/>
        </w:rPr>
        <w:t>Section 9.12;</w:t>
      </w:r>
    </w:p>
    <w:p>
      <w:pPr>
        <w:sectPr>
          <w:pgSz w:w="11900" w:h="16838" w:orient="portrait"/>
          <w:cols w:equalWidth="0" w:num="1">
            <w:col w:w="11304"/>
          </w:cols>
          <w:pgMar w:left="356"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16"/>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304"/>
          </w:cols>
          <w:pgMar w:left="356" w:top="584" w:right="239" w:bottom="1440" w:gutter="0" w:footer="0" w:header="0"/>
          <w:type w:val="continuous"/>
        </w:sectPr>
      </w:pPr>
    </w:p>
    <w:bookmarkStart w:id="148" w:name="page149"/>
    <w:bookmarkEnd w:id="148"/>
    <w:p>
      <w:pPr>
        <w:ind w:left="1300" w:hanging="656"/>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granting of Permitted Liens;</w:t>
      </w:r>
    </w:p>
    <w:p>
      <w:pPr>
        <w:spacing w:after="0" w:line="23" w:lineRule="exact"/>
        <w:rPr>
          <w:rFonts w:ascii="Arial" w:cs="Arial" w:eastAsia="Arial" w:hAnsi="Arial"/>
          <w:sz w:val="18"/>
          <w:szCs w:val="18"/>
          <w:color w:val="auto"/>
        </w:rPr>
      </w:pPr>
    </w:p>
    <w:p>
      <w:pPr>
        <w:ind w:left="1300" w:hanging="656"/>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making of Restricted Payments that are expressly permitted by </w:t>
      </w:r>
      <w:r>
        <w:rPr>
          <w:rFonts w:ascii="Arial" w:cs="Arial" w:eastAsia="Arial" w:hAnsi="Arial"/>
          <w:sz w:val="18"/>
          <w:szCs w:val="18"/>
          <w:u w:val="single" w:color="auto"/>
          <w:color w:val="auto"/>
        </w:rPr>
        <w:t>Section 9.6;</w:t>
      </w:r>
    </w:p>
    <w:p>
      <w:pPr>
        <w:spacing w:after="0" w:line="237" w:lineRule="exact"/>
        <w:rPr>
          <w:rFonts w:ascii="Arial" w:cs="Arial" w:eastAsia="Arial" w:hAnsi="Arial"/>
          <w:sz w:val="18"/>
          <w:szCs w:val="18"/>
          <w:color w:val="auto"/>
        </w:rPr>
      </w:pPr>
    </w:p>
    <w:p>
      <w:pPr>
        <w:jc w:val="both"/>
        <w:ind w:firstLine="644"/>
        <w:spacing w:after="0" w:line="329" w:lineRule="auto"/>
        <w:tabs>
          <w:tab w:leader="none" w:pos="135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 the lapse of registered or issued patents, trademarks, copyrights and other intellectual property of Holdings and its Subsidiaries to the extent not economically desirable in the conduct of their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Administrative Agent or the Lenders;</w:t>
      </w:r>
    </w:p>
    <w:p>
      <w:pPr>
        <w:spacing w:after="0" w:line="143" w:lineRule="exact"/>
        <w:rPr>
          <w:rFonts w:ascii="Arial" w:cs="Arial" w:eastAsia="Arial" w:hAnsi="Arial"/>
          <w:sz w:val="17"/>
          <w:szCs w:val="17"/>
          <w:color w:val="auto"/>
        </w:rPr>
      </w:pPr>
    </w:p>
    <w:p>
      <w:pPr>
        <w:ind w:left="1300" w:hanging="656"/>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making of Investments permitted by </w:t>
      </w:r>
      <w:r>
        <w:rPr>
          <w:rFonts w:ascii="Arial" w:cs="Arial" w:eastAsia="Arial" w:hAnsi="Arial"/>
          <w:sz w:val="18"/>
          <w:szCs w:val="18"/>
          <w:u w:val="single" w:color="auto"/>
          <w:color w:val="auto"/>
        </w:rPr>
        <w:t>Section 9.3;</w:t>
      </w:r>
    </w:p>
    <w:p>
      <w:pPr>
        <w:spacing w:after="0" w:line="252" w:lineRule="exact"/>
        <w:rPr>
          <w:rFonts w:ascii="Arial" w:cs="Arial" w:eastAsia="Arial" w:hAnsi="Arial"/>
          <w:sz w:val="18"/>
          <w:szCs w:val="18"/>
          <w:color w:val="auto"/>
        </w:rPr>
      </w:pPr>
    </w:p>
    <w:p>
      <w:pPr>
        <w:ind w:firstLine="644"/>
        <w:spacing w:after="0" w:line="324" w:lineRule="auto"/>
        <w:tabs>
          <w:tab w:leader="none" w:pos="135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sales of inventory and equipment, located at leased locations to a subtenant in connection with the sublease of any such leased real property not prohibited under this Agreement;</w:t>
      </w:r>
    </w:p>
    <w:p>
      <w:pPr>
        <w:spacing w:after="0" w:line="183" w:lineRule="exact"/>
        <w:rPr>
          <w:rFonts w:ascii="Arial" w:cs="Arial" w:eastAsia="Arial" w:hAnsi="Arial"/>
          <w:sz w:val="18"/>
          <w:szCs w:val="18"/>
          <w:color w:val="auto"/>
        </w:rPr>
      </w:pPr>
    </w:p>
    <w:p>
      <w:pPr>
        <w:jc w:val="both"/>
        <w:ind w:firstLine="644"/>
        <w:spacing w:after="0" w:line="306" w:lineRule="auto"/>
        <w:tabs>
          <w:tab w:leader="none" w:pos="14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result therefrom, leases or subleases of Restaurant properties to Persons in order to facilitate the sale of alcoholic beverages at such Restaurant properties, which leases shall be on terms and conditions reasonably satisfactory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and its Subsidiaries shall not be party to leases with respect to more than 10 such Restaurant properties in the aggregate at any time during the term of this Agreement; and</w:t>
      </w:r>
    </w:p>
    <w:p>
      <w:pPr>
        <w:spacing w:after="0" w:line="200" w:lineRule="exact"/>
        <w:rPr>
          <w:rFonts w:ascii="Arial" w:cs="Arial" w:eastAsia="Arial" w:hAnsi="Arial"/>
          <w:sz w:val="18"/>
          <w:szCs w:val="18"/>
          <w:color w:val="auto"/>
        </w:rPr>
      </w:pPr>
    </w:p>
    <w:p>
      <w:pPr>
        <w:jc w:val="both"/>
        <w:ind w:firstLine="644"/>
        <w:spacing w:after="0" w:line="311" w:lineRule="auto"/>
        <w:tabs>
          <w:tab w:leader="none" w:pos="139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Asset Dispositions not otherwise permitted pursuant to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Asset Disposition, no Default or Event of Default shall exist or would result from such Asset Disposition, and (ii) the aggregate fair market value of all property disposed of in reliance on this clause (n) shall not exceed $25,000,000 in any Fiscal Year and $50,000,000 during the term of this Agreement.</w:t>
      </w:r>
    </w:p>
    <w:p>
      <w:pPr>
        <w:spacing w:after="0" w:line="16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81" w:lineRule="exact"/>
        <w:rPr>
          <w:sz w:val="20"/>
          <w:szCs w:val="20"/>
          <w:color w:val="auto"/>
        </w:rPr>
      </w:pPr>
    </w:p>
    <w:p>
      <w:pPr>
        <w:ind w:firstLine="644"/>
        <w:spacing w:after="0" w:line="324" w:lineRule="auto"/>
        <w:tabs>
          <w:tab w:leader="none" w:pos="13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Holdings, the Borrower or any of its Subsidiaries may pay dividends in shares of its own Qualified Equity Interests;</w:t>
      </w:r>
    </w:p>
    <w:p>
      <w:pPr>
        <w:spacing w:after="0" w:line="183" w:lineRule="exact"/>
        <w:rPr>
          <w:rFonts w:ascii="Arial" w:cs="Arial" w:eastAsia="Arial" w:hAnsi="Arial"/>
          <w:sz w:val="18"/>
          <w:szCs w:val="18"/>
          <w:color w:val="auto"/>
        </w:rPr>
      </w:pPr>
    </w:p>
    <w:p>
      <w:pPr>
        <w:ind w:left="1400" w:hanging="756"/>
        <w:spacing w:after="0"/>
        <w:tabs>
          <w:tab w:leader="none" w:pos="14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Subsidiary of the Borrower may pay cash dividends to the Borrower or any Subsidiary Guarantor;</w:t>
      </w:r>
    </w:p>
    <w:p>
      <w:pPr>
        <w:spacing w:after="0" w:line="279" w:lineRule="exact"/>
        <w:rPr>
          <w:rFonts w:ascii="Arial" w:cs="Arial" w:eastAsia="Arial" w:hAnsi="Arial"/>
          <w:sz w:val="18"/>
          <w:szCs w:val="18"/>
          <w:color w:val="auto"/>
        </w:rPr>
      </w:pPr>
    </w:p>
    <w:p>
      <w:pPr>
        <w:jc w:val="both"/>
        <w:ind w:firstLine="644"/>
        <w:spacing w:after="0" w:line="306" w:lineRule="auto"/>
        <w:tabs>
          <w:tab w:leader="none" w:pos="13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any Non-Guarantor Subsidiary that is a Domestic Subsidiary may make Restricted Payments to any other Non-Guarantor Subsidiary that is a Domestic Subsidiary (and, if applicable, to other holders of its outstanding Equity Interests on a ratable basis) and (ii) any Non-Guarantor Subsidiary that is a Foreign Subsidiary may make Restricted Payments to any other Non-Guarantor Subsidiary (and, if applicable, to other holders of its outstanding Equity Interests on a ratable basis); and</w:t>
      </w:r>
    </w:p>
    <w:p>
      <w:pPr>
        <w:spacing w:after="0" w:line="200" w:lineRule="exact"/>
        <w:rPr>
          <w:rFonts w:ascii="Arial" w:cs="Arial" w:eastAsia="Arial" w:hAnsi="Arial"/>
          <w:sz w:val="18"/>
          <w:szCs w:val="18"/>
          <w:color w:val="auto"/>
        </w:rPr>
      </w:pPr>
    </w:p>
    <w:p>
      <w:pPr>
        <w:ind w:firstLine="644"/>
        <w:spacing w:after="0" w:line="297" w:lineRule="auto"/>
        <w:tabs>
          <w:tab w:leader="none" w:pos="139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Borrower may declare and make (and each Subsidiary of the Borrower may declare and make to enable the Borrower to do the same) Restricted Payments to Holdings, so that Holdings may, and Holdings shall be permitted to:</w:t>
      </w:r>
    </w:p>
    <w:p>
      <w:pPr>
        <w:ind w:left="1340" w:hanging="412"/>
        <w:spacing w:after="0"/>
        <w:tabs>
          <w:tab w:leader="none" w:pos="13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pay any Taxes which are due and payable by the Credit Parties as part of a consolidated group;</w:t>
      </w:r>
    </w:p>
    <w:p>
      <w:pPr>
        <w:spacing w:after="0" w:line="279" w:lineRule="exact"/>
        <w:rPr>
          <w:sz w:val="20"/>
          <w:szCs w:val="20"/>
          <w:color w:val="auto"/>
        </w:rPr>
      </w:pPr>
    </w:p>
    <w:p>
      <w:pPr>
        <w:ind w:left="260" w:firstLine="654"/>
        <w:spacing w:after="0" w:line="357" w:lineRule="auto"/>
        <w:tabs>
          <w:tab w:leader="none" w:pos="139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pay corporate operating (including, without limitation, directors fees and expenses) and overhead expenses (including, without limitation, rent, utilities and salary) in the ordinary course of business and fees and expenses of attorneys, accountants, appraisers and the like;</w:t>
      </w:r>
    </w:p>
    <w:p>
      <w:pPr>
        <w:spacing w:after="0" w:line="161" w:lineRule="exact"/>
        <w:rPr>
          <w:rFonts w:ascii="Arial" w:cs="Arial" w:eastAsia="Arial" w:hAnsi="Arial"/>
          <w:sz w:val="17"/>
          <w:szCs w:val="17"/>
          <w:color w:val="auto"/>
        </w:rPr>
      </w:pPr>
    </w:p>
    <w:p>
      <w:pPr>
        <w:ind w:left="1460" w:hanging="546"/>
        <w:spacing w:after="0"/>
        <w:tabs>
          <w:tab w:leader="none" w:pos="14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pay any management fees and reimbursement of expenses to the Sponsor or its designees to the extent permitted pursuant to </w:t>
      </w:r>
      <w:r>
        <w:rPr>
          <w:rFonts w:ascii="Arial" w:cs="Arial" w:eastAsia="Arial" w:hAnsi="Arial"/>
          <w:sz w:val="16"/>
          <w:szCs w:val="16"/>
          <w:u w:val="single" w:color="auto"/>
          <w:color w:val="auto"/>
        </w:rPr>
        <w:t>Section</w:t>
      </w:r>
    </w:p>
    <w:p>
      <w:pPr>
        <w:spacing w:after="0" w:line="72"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u w:val="single" w:color="auto"/>
          <w:color w:val="auto"/>
        </w:rPr>
        <w:t>9.7;</w:t>
      </w:r>
    </w:p>
    <w:p>
      <w:pPr>
        <w:spacing w:after="0" w:line="265" w:lineRule="exact"/>
        <w:rPr>
          <w:rFonts w:ascii="Arial" w:cs="Arial" w:eastAsia="Arial" w:hAnsi="Arial"/>
          <w:sz w:val="16"/>
          <w:szCs w:val="16"/>
          <w:color w:val="auto"/>
        </w:rPr>
      </w:pPr>
    </w:p>
    <w:p>
      <w:pPr>
        <w:jc w:val="both"/>
        <w:ind w:left="280" w:firstLine="648"/>
        <w:spacing w:after="0" w:line="349" w:lineRule="auto"/>
        <w:tabs>
          <w:tab w:leader="none" w:pos="207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with respect to any tax period (or portion thereof) of Holdings during which Holdings is treated as a disregarded entity or partnership, for federal or state income tax purposes, Holdings may declare and pay cash distributions (each, a “</w:t>
      </w:r>
      <w:r>
        <w:rPr>
          <w:rFonts w:ascii="Arial" w:cs="Arial" w:eastAsia="Arial" w:hAnsi="Arial"/>
          <w:sz w:val="16"/>
          <w:szCs w:val="16"/>
          <w:u w:val="single" w:color="auto"/>
          <w:color w:val="auto"/>
        </w:rPr>
        <w:t>Tax Distribution”</w:t>
      </w:r>
      <w:r>
        <w:rPr>
          <w:rFonts w:ascii="Arial" w:cs="Arial" w:eastAsia="Arial" w:hAnsi="Arial"/>
          <w:sz w:val="16"/>
          <w:szCs w:val="16"/>
          <w:color w:val="auto"/>
        </w:rPr>
        <w:t>) to its members with respect to each such tax period for which income tax, or an installment of estimated tax, would be required to be paid by a member of Holdings by virtue of owning such membership interest in Holdings, as applicable. For the purposes of computing the aggregate amount of Tax Distributions made to a member of Holdings for any taxable period, any tax withholding amounts with respect to such member for such taxable period shall</w:t>
      </w:r>
    </w:p>
    <w:p>
      <w:pPr>
        <w:sectPr>
          <w:pgSz w:w="11900" w:h="16838" w:orient="portrait"/>
          <w:cols w:equalWidth="0" w:num="1">
            <w:col w:w="11300"/>
          </w:cols>
          <w:pgMar w:left="360" w:top="584" w:right="239" w:bottom="1440" w:gutter="0" w:footer="0" w:header="0"/>
        </w:sectPr>
      </w:pPr>
    </w:p>
    <w:p>
      <w:pPr>
        <w:spacing w:after="0" w:line="16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00"/>
          </w:cols>
          <w:pgMar w:left="360" w:top="584" w:right="239" w:bottom="1440" w:gutter="0" w:footer="0" w:header="0"/>
          <w:type w:val="continuous"/>
        </w:sectPr>
      </w:pPr>
    </w:p>
    <w:bookmarkStart w:id="149" w:name="page150"/>
    <w:bookmarkEnd w:id="149"/>
    <w:p>
      <w:pPr>
        <w:jc w:val="both"/>
        <w:ind w:left="280"/>
        <w:spacing w:after="0" w:line="319" w:lineRule="auto"/>
        <w:rPr>
          <w:sz w:val="20"/>
          <w:szCs w:val="20"/>
          <w:color w:val="auto"/>
        </w:rPr>
      </w:pPr>
      <w:r>
        <w:rPr>
          <w:rFonts w:ascii="Arial" w:cs="Arial" w:eastAsia="Arial" w:hAnsi="Arial"/>
          <w:sz w:val="17"/>
          <w:szCs w:val="17"/>
          <w:color w:val="auto"/>
        </w:rPr>
        <w:t>be treated as a Tax Distribution made by Holdings to such member. For purposes of this Section 9.6(d), a Tax Distribution made by Holdings after the last day of any taxable year shall generally be treated as being made with respect to the year in which such Tax Distribution is actually made and not with respect to the prior taxable year; provided that any Tax Distribution made on or before April 15th of any year may, at Holdings’ option, be deemed to have been made with respect to the immediately preceding taxable year to the extent such Tax Distribution would have been permitted to be made in such preceding taxable year. Tax Distributions may be made (if necessary) on a quarterly basis to facilitate the members’ ability to make quarterly estimated tax payments with respect to their taxable income or loss attributable to Holdings. Any such Tax Distributions will be based on interim balances computed for the Tax Liability Accounts that reflect each member’s estimated taxable income or loss from the beginning of the Fiscal Year through the end of such quarter. At the end of each Fiscal Year, final adjustments to the Tax Liability Account will be made to reflect the actual results of the year, and each member must immediately repay any amount of Tax Distribution distributed to it with respect to such year in excess of the Tax Distribution it should have received based on such final adjustment;</w:t>
      </w:r>
    </w:p>
    <w:p>
      <w:pPr>
        <w:spacing w:after="0" w:line="184" w:lineRule="exact"/>
        <w:rPr>
          <w:sz w:val="20"/>
          <w:szCs w:val="20"/>
          <w:color w:val="auto"/>
        </w:rPr>
      </w:pPr>
    </w:p>
    <w:p>
      <w:pPr>
        <w:jc w:val="both"/>
        <w:ind w:left="280" w:firstLine="648"/>
        <w:spacing w:after="0" w:line="319" w:lineRule="auto"/>
        <w:tabs>
          <w:tab w:leader="none" w:pos="1381" w:val="left"/>
        </w:tabs>
        <w:numPr>
          <w:ilvl w:val="2"/>
          <w:numId w:val="196"/>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or would result therefrom, redeem, retire or otherwise acquire shares of its Equity Interests or options or other equity or phantom equity in respect of its Equity Interests from present or former officers, employees, directors or consultants (or their family members or trusts or other entities for the benefit of any of the foregoing) (including with respect to obligations existing under the Profits Interest Program and Restricted Stock Program) or make severance payments to such Persons in connection with the death, disability or termination of employment or consultancy of any such officer, employee, director or consultant (A) to the extent that such purchase is made with the Net Cash Proceeds of any offering of equity securities of or capital contributions to Holdings or (B) otherwise in an aggregate amount not to exceed $2,000,000 in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portion of the amount set forth above, to the extent not utilized in the Fiscal Year for which it is permitted above, such unutilized amount may be carried over for application in the next following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any such amount is so carried over, (a) it will be deemed used in the applicable subsequent Fiscal Year and (b) it may not be carried over to another subsequent Fiscal Year; and</w:t>
      </w:r>
    </w:p>
    <w:p>
      <w:pPr>
        <w:spacing w:after="0" w:line="183" w:lineRule="exact"/>
        <w:rPr>
          <w:rFonts w:ascii="Arial" w:cs="Arial" w:eastAsia="Arial" w:hAnsi="Arial"/>
          <w:sz w:val="17"/>
          <w:szCs w:val="17"/>
          <w:color w:val="auto"/>
        </w:rPr>
      </w:pPr>
    </w:p>
    <w:p>
      <w:pPr>
        <w:jc w:val="both"/>
        <w:ind w:left="220" w:firstLine="640"/>
        <w:spacing w:after="0" w:line="306" w:lineRule="auto"/>
        <w:tabs>
          <w:tab w:leader="none" w:pos="145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pay the Specified Dividend;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portion of the Specified Dividend is paid after the Closing Date, the Borrower must demonstrate, to the reasonable satisfaction of the Administrative Agent, that after giving effect to the payment of such portion of the Specified Dividend on a Pro Forma Basis (i) the Total Lease Adjusted Leverage Ratio shall not exceed 5.00 to 1.00, and (ii) Liquidity is at least $25,000,000.</w:t>
      </w:r>
    </w:p>
    <w:p>
      <w:pPr>
        <w:spacing w:after="0" w:line="200" w:lineRule="exact"/>
        <w:rPr>
          <w:rFonts w:ascii="Arial" w:cs="Arial" w:eastAsia="Arial" w:hAnsi="Arial"/>
          <w:sz w:val="18"/>
          <w:szCs w:val="18"/>
          <w:color w:val="auto"/>
        </w:rPr>
      </w:pPr>
    </w:p>
    <w:p>
      <w:pPr>
        <w:jc w:val="both"/>
        <w:ind w:firstLine="644"/>
        <w:spacing w:after="0" w:line="304" w:lineRule="auto"/>
        <w:tabs>
          <w:tab w:leader="none" w:pos="13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Holdings may make a one-time payment to Hazem Ouf or his designee (and Borrower or any of its Subsidiaries may make dividends or distributions to Holdings to facilitate such payment by Holdings) on or prior to August 31, 2015, in an aggregate amount not to exceed $10,000,000 in connection with the termination of the Phantom Equity Agreement, so long as, after giving effect to such Restricted Payment on a Pro Forma Basis (i) that the Total Lease Adjusted Leverage Ratio shall be at least 0.25 below the applicable ratio set forth in </w:t>
      </w:r>
      <w:r>
        <w:rPr>
          <w:rFonts w:ascii="Arial" w:cs="Arial" w:eastAsia="Arial" w:hAnsi="Arial"/>
          <w:sz w:val="18"/>
          <w:szCs w:val="18"/>
          <w:u w:val="single" w:color="auto"/>
          <w:color w:val="auto"/>
        </w:rPr>
        <w:t>Section 9.14(a),</w:t>
      </w:r>
      <w:r>
        <w:rPr>
          <w:rFonts w:ascii="Arial" w:cs="Arial" w:eastAsia="Arial" w:hAnsi="Arial"/>
          <w:sz w:val="18"/>
          <w:szCs w:val="18"/>
          <w:color w:val="auto"/>
        </w:rPr>
        <w:t xml:space="preserve"> and (ii) Liquidity is at least $25,000,000;</w:t>
      </w:r>
    </w:p>
    <w:p>
      <w:pPr>
        <w:spacing w:after="0" w:line="188" w:lineRule="exact"/>
        <w:rPr>
          <w:rFonts w:ascii="Arial" w:cs="Arial" w:eastAsia="Arial" w:hAnsi="Arial"/>
          <w:sz w:val="18"/>
          <w:szCs w:val="18"/>
          <w:color w:val="auto"/>
        </w:rPr>
      </w:pPr>
    </w:p>
    <w:p>
      <w:pPr>
        <w:jc w:val="both"/>
        <w:ind w:firstLine="644"/>
        <w:spacing w:after="0" w:line="346" w:lineRule="auto"/>
        <w:tabs>
          <w:tab w:leader="none" w:pos="136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other Restricted Payments so long as, after giving effect to such Restricted Payment on a Pro Forma Basis, Liquidity is at least $25,000,000;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after giving effect to such Restricted Payment on a Pro Forma Basis (i) the Total Lease Adjusted Leverage Ratio is greater than 1 to 1.00, the aggregate amount of such Restricted Payments, when combined with all others made pursuant to this </w:t>
      </w:r>
      <w:r>
        <w:rPr>
          <w:rFonts w:ascii="Arial" w:cs="Arial" w:eastAsia="Arial" w:hAnsi="Arial"/>
          <w:sz w:val="16"/>
          <w:szCs w:val="16"/>
          <w:u w:val="single" w:color="auto"/>
          <w:color w:val="auto"/>
        </w:rPr>
        <w:t>Section 9.6(f)</w:t>
      </w:r>
      <w:r>
        <w:rPr>
          <w:rFonts w:ascii="Arial" w:cs="Arial" w:eastAsia="Arial" w:hAnsi="Arial"/>
          <w:sz w:val="16"/>
          <w:szCs w:val="16"/>
          <w:color w:val="auto"/>
        </w:rPr>
        <w:t xml:space="preserve"> in the then-current Fiscal year, must be less than $15,000,000, (ii) the Total Lease Adjusted Leverage Ratio is greater than or equal to 3.50 to 1.00 but less than 4.00 to 1.00, the aggregate amount of such Restricted Payments, when combined with all others made pursuant to this Section 9.6(f) in the then-current Fiscal year, must be less than $30,000,000 and (iii) to the extent the Total Lease Adjusted Leverage Ratio is less than 3.50 to 1.00, there shall be no limit.</w:t>
      </w:r>
    </w:p>
    <w:p>
      <w:pPr>
        <w:spacing w:after="0" w:line="1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Directly or indirectly enter into any transaction, including, without limitation, any purchase, sale, lease or exchange of Property, the rendering of any service or the payment of any management, advisory or similar fees, with (a) any officer, director, holder of any Equity Interests in, or other Affiliate of, Holdings, the Borrower or any of its Subsidiaries, (b) any Affiliate of any such officer, director or holder or (c) the Sponsor or any officer, director, holder of any Equity Interests in, or other Affiliate of, the Sponsor, other than:</w:t>
      </w:r>
    </w:p>
    <w:p>
      <w:pPr>
        <w:spacing w:after="0" w:line="198" w:lineRule="exact"/>
        <w:rPr>
          <w:sz w:val="20"/>
          <w:szCs w:val="20"/>
          <w:color w:val="auto"/>
        </w:rPr>
      </w:pPr>
    </w:p>
    <w:p>
      <w:pPr>
        <w:ind w:left="2000" w:hanging="707"/>
        <w:spacing w:after="0"/>
        <w:tabs>
          <w:tab w:leader="none" w:pos="20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transactions permitted by </w:t>
      </w:r>
      <w:r>
        <w:rPr>
          <w:rFonts w:ascii="Arial" w:cs="Arial" w:eastAsia="Arial" w:hAnsi="Arial"/>
          <w:sz w:val="18"/>
          <w:szCs w:val="18"/>
          <w:u w:val="single" w:color="auto"/>
          <w:color w:val="auto"/>
        </w:rPr>
        <w:t>Sections 9.1, 9.3, 9.4, 9.5, 9.6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9.13;</w:t>
      </w:r>
    </w:p>
    <w:p>
      <w:pPr>
        <w:spacing w:after="0" w:line="265" w:lineRule="exact"/>
        <w:rPr>
          <w:rFonts w:ascii="Arial" w:cs="Arial" w:eastAsia="Arial" w:hAnsi="Arial"/>
          <w:sz w:val="18"/>
          <w:szCs w:val="18"/>
          <w:color w:val="auto"/>
        </w:rPr>
      </w:pPr>
    </w:p>
    <w:p>
      <w:pPr>
        <w:ind w:left="2060" w:hanging="767"/>
        <w:spacing w:after="0"/>
        <w:tabs>
          <w:tab w:leader="none" w:pos="20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transactions existing on the Closing Date and described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to the Disclosure Letter;</w:t>
      </w:r>
    </w:p>
    <w:p>
      <w:pPr>
        <w:spacing w:after="0" w:line="252" w:lineRule="exact"/>
        <w:rPr>
          <w:rFonts w:ascii="Arial" w:cs="Arial" w:eastAsia="Arial" w:hAnsi="Arial"/>
          <w:sz w:val="18"/>
          <w:szCs w:val="18"/>
          <w:color w:val="auto"/>
        </w:rPr>
      </w:pPr>
    </w:p>
    <w:p>
      <w:pPr>
        <w:ind w:left="1940" w:hanging="647"/>
        <w:spacing w:after="0"/>
        <w:tabs>
          <w:tab w:leader="none" w:pos="1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transactions among Credit Parties;</w:t>
      </w:r>
    </w:p>
    <w:p>
      <w:pPr>
        <w:sectPr>
          <w:pgSz w:w="11900" w:h="16838" w:orient="portrait"/>
          <w:cols w:equalWidth="0" w:num="1">
            <w:col w:w="11300"/>
          </w:cols>
          <w:pgMar w:left="360" w:top="61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00"/>
          </w:cols>
          <w:pgMar w:left="360" w:top="611" w:right="239" w:bottom="1440" w:gutter="0" w:footer="0" w:header="0"/>
          <w:type w:val="continuous"/>
        </w:sectPr>
      </w:pPr>
    </w:p>
    <w:bookmarkStart w:id="150" w:name="page151"/>
    <w:bookmarkEnd w:id="150"/>
    <w:p>
      <w:pPr>
        <w:jc w:val="both"/>
        <w:ind w:left="640" w:firstLine="653"/>
        <w:spacing w:after="0" w:line="311" w:lineRule="auto"/>
        <w:tabs>
          <w:tab w:leader="none" w:pos="208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Holdings;</w:t>
      </w:r>
    </w:p>
    <w:p>
      <w:pPr>
        <w:spacing w:after="0" w:line="181" w:lineRule="exact"/>
        <w:rPr>
          <w:rFonts w:ascii="Arial" w:cs="Arial" w:eastAsia="Arial" w:hAnsi="Arial"/>
          <w:sz w:val="18"/>
          <w:szCs w:val="18"/>
          <w:color w:val="auto"/>
        </w:rPr>
      </w:pPr>
    </w:p>
    <w:p>
      <w:pPr>
        <w:jc w:val="both"/>
        <w:ind w:left="640" w:firstLine="653"/>
        <w:spacing w:after="0" w:line="395" w:lineRule="auto"/>
        <w:tabs>
          <w:tab w:leader="none" w:pos="203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employment and severance arrangements (including equity incentive plans and employee benefit plans and arrangements) with their respective officers and employees in the ordinary course of business, including the Profits Interest Program and the Restricted Stock Program;</w:t>
      </w:r>
    </w:p>
    <w:p>
      <w:pPr>
        <w:spacing w:after="0" w:line="123" w:lineRule="exact"/>
        <w:rPr>
          <w:rFonts w:ascii="Arial" w:cs="Arial" w:eastAsia="Arial" w:hAnsi="Arial"/>
          <w:sz w:val="16"/>
          <w:szCs w:val="16"/>
          <w:color w:val="auto"/>
        </w:rPr>
      </w:pPr>
    </w:p>
    <w:p>
      <w:pPr>
        <w:ind w:left="640" w:right="20" w:firstLine="653"/>
        <w:spacing w:after="0" w:line="321" w:lineRule="auto"/>
        <w:tabs>
          <w:tab w:leader="none" w:pos="208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payment of customary fees and reasonable out of pocket costs to, and indemnities for the benefit of, directors, officers and employees of Holdings, the Borrower and its</w:t>
      </w:r>
    </w:p>
    <w:p>
      <w:pPr>
        <w:ind w:left="640"/>
        <w:spacing w:after="0"/>
        <w:rPr>
          <w:rFonts w:ascii="Arial" w:cs="Arial" w:eastAsia="Arial" w:hAnsi="Arial"/>
          <w:sz w:val="18"/>
          <w:szCs w:val="18"/>
          <w:color w:val="auto"/>
        </w:rPr>
      </w:pPr>
      <w:r>
        <w:rPr>
          <w:rFonts w:ascii="Arial" w:cs="Arial" w:eastAsia="Arial" w:hAnsi="Arial"/>
          <w:sz w:val="16"/>
          <w:szCs w:val="16"/>
          <w:color w:val="auto"/>
        </w:rPr>
        <w:t>Subsidiaries in the ordinary course of business to the extent attributable to the ownership or operation of the Borrower and its Subsidiaries; and</w:t>
      </w:r>
    </w:p>
    <w:p>
      <w:pPr>
        <w:spacing w:after="0" w:line="289" w:lineRule="exact"/>
        <w:rPr>
          <w:sz w:val="20"/>
          <w:szCs w:val="20"/>
          <w:color w:val="auto"/>
        </w:rPr>
      </w:pPr>
    </w:p>
    <w:p>
      <w:pPr>
        <w:jc w:val="both"/>
        <w:ind w:left="620" w:firstLine="646"/>
        <w:spacing w:after="0" w:line="336" w:lineRule="auto"/>
        <w:tabs>
          <w:tab w:leader="none" w:pos="213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payment to the Sponsor of (A) fees and indemnities in an amount not to exceed the amount provided by the Management Agreement with respect to the services addressed therein and (B) reasonable out-of-pocket expenses; provided that, in either case set forth in the foregoing clauses (A) or (B), no Event of Default shall have occurred and be continuing prior thereto or as result thereof.</w:t>
      </w:r>
    </w:p>
    <w:p>
      <w:pPr>
        <w:spacing w:after="0" w:line="138" w:lineRule="exact"/>
        <w:rPr>
          <w:sz w:val="20"/>
          <w:szCs w:val="20"/>
          <w:color w:val="auto"/>
        </w:rPr>
      </w:pPr>
    </w:p>
    <w:p>
      <w:pPr>
        <w:ind w:left="620"/>
        <w:spacing w:after="0"/>
        <w:tabs>
          <w:tab w:leader="none" w:pos="1800" w:val="left"/>
        </w:tabs>
        <w:rPr>
          <w:sz w:val="20"/>
          <w:szCs w:val="20"/>
          <w:color w:val="auto"/>
        </w:rPr>
      </w:pPr>
      <w:r>
        <w:rPr>
          <w:rFonts w:ascii="Arial" w:cs="Arial" w:eastAsia="Arial" w:hAnsi="Arial"/>
          <w:sz w:val="18"/>
          <w:szCs w:val="18"/>
          <w:color w:val="auto"/>
        </w:rPr>
        <w:t>SECTION 9.8</w:t>
      </w:r>
      <w:r>
        <w:rPr>
          <w:sz w:val="20"/>
          <w:szCs w:val="20"/>
          <w:color w:val="auto"/>
        </w:rPr>
        <w:tab/>
      </w:r>
      <w:r>
        <w:rPr>
          <w:rFonts w:ascii="Arial" w:cs="Arial" w:eastAsia="Arial" w:hAnsi="Arial"/>
          <w:sz w:val="16"/>
          <w:szCs w:val="16"/>
          <w:u w:val="single" w:color="auto"/>
          <w:color w:val="auto"/>
        </w:rPr>
        <w:t>Accounting Changes; Organizational Documents.</w:t>
      </w:r>
    </w:p>
    <w:p>
      <w:pPr>
        <w:spacing w:after="0" w:line="252" w:lineRule="exact"/>
        <w:rPr>
          <w:sz w:val="20"/>
          <w:szCs w:val="20"/>
          <w:color w:val="auto"/>
        </w:rPr>
      </w:pPr>
    </w:p>
    <w:p>
      <w:pPr>
        <w:ind w:firstLine="644"/>
        <w:spacing w:after="0" w:line="324" w:lineRule="auto"/>
        <w:tabs>
          <w:tab w:leader="none" w:pos="138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Change its Fiscal Year end, or make (without the consent of the Administrative Agent) any material change in its accounting treatment and reporting practices except as required by GAAP.</w:t>
      </w:r>
    </w:p>
    <w:p>
      <w:pPr>
        <w:spacing w:after="0" w:line="170" w:lineRule="exact"/>
        <w:rPr>
          <w:rFonts w:ascii="Arial" w:cs="Arial" w:eastAsia="Arial" w:hAnsi="Arial"/>
          <w:sz w:val="18"/>
          <w:szCs w:val="18"/>
          <w:color w:val="auto"/>
        </w:rPr>
      </w:pPr>
    </w:p>
    <w:p>
      <w:pPr>
        <w:ind w:firstLine="644"/>
        <w:spacing w:after="0" w:line="324" w:lineRule="auto"/>
        <w:tabs>
          <w:tab w:leader="none" w:pos="139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170" w:lineRule="exact"/>
        <w:rPr>
          <w:rFonts w:ascii="Arial" w:cs="Arial" w:eastAsia="Arial" w:hAnsi="Arial"/>
          <w:sz w:val="18"/>
          <w:szCs w:val="18"/>
          <w:color w:val="auto"/>
        </w:rPr>
      </w:pPr>
    </w:p>
    <w:p>
      <w:pPr>
        <w:ind w:left="1380" w:hanging="736"/>
        <w:spacing w:after="0"/>
        <w:tabs>
          <w:tab w:leader="none" w:pos="13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Amend, modify or change the Management Agreement in any manner that would be adverse to the Lenders in any material respect.</w:t>
      </w:r>
    </w:p>
    <w:p>
      <w:pPr>
        <w:spacing w:after="0" w:line="200" w:lineRule="exact"/>
        <w:rPr>
          <w:sz w:val="20"/>
          <w:szCs w:val="20"/>
          <w:color w:val="auto"/>
        </w:rPr>
      </w:pPr>
    </w:p>
    <w:p>
      <w:pPr>
        <w:spacing w:after="0" w:line="26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Payments and Modifications of Subordinated Indebtedness.</w:t>
      </w:r>
    </w:p>
    <w:p>
      <w:pPr>
        <w:spacing w:after="0" w:line="252" w:lineRule="exact"/>
        <w:rPr>
          <w:sz w:val="20"/>
          <w:szCs w:val="20"/>
          <w:color w:val="auto"/>
        </w:rPr>
      </w:pPr>
    </w:p>
    <w:p>
      <w:pPr>
        <w:jc w:val="both"/>
        <w:ind w:firstLine="644"/>
        <w:spacing w:after="0" w:line="311" w:lineRule="auto"/>
        <w:tabs>
          <w:tab w:leader="none" w:pos="138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 modify, waive or supplement (or permit the modification, amendment, waiver or supplement of) any of the terms or provisions of any Subordinated Indebtedness in any respect which would materially and adversely affect the rights or interests of the Administrative Agent and Lenders hereunder.</w:t>
      </w:r>
    </w:p>
    <w:p>
      <w:pPr>
        <w:spacing w:after="0" w:line="181" w:lineRule="exact"/>
        <w:rPr>
          <w:rFonts w:ascii="Arial" w:cs="Arial" w:eastAsia="Arial" w:hAnsi="Arial"/>
          <w:sz w:val="18"/>
          <w:szCs w:val="18"/>
          <w:color w:val="auto"/>
        </w:rPr>
      </w:pPr>
    </w:p>
    <w:p>
      <w:pPr>
        <w:jc w:val="both"/>
        <w:ind w:firstLine="644"/>
        <w:spacing w:after="0" w:line="311" w:lineRule="auto"/>
        <w:tabs>
          <w:tab w:leader="none" w:pos="13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Cancel, forgive, make any payment or prepayment on, or redeem or acquire for value (including, without limitation, (x) by way of depositing with any trustee with respect thereto money or securities before due for the purpose of paying when due and (y) at the maturity thereof) any Subordinated Indebtedness, except:</w:t>
      </w:r>
    </w:p>
    <w:p>
      <w:pPr>
        <w:spacing w:after="0" w:line="181" w:lineRule="exact"/>
        <w:rPr>
          <w:rFonts w:ascii="Arial" w:cs="Arial" w:eastAsia="Arial" w:hAnsi="Arial"/>
          <w:sz w:val="18"/>
          <w:szCs w:val="18"/>
          <w:color w:val="auto"/>
        </w:rPr>
      </w:pPr>
    </w:p>
    <w:p>
      <w:pPr>
        <w:ind w:left="640" w:right="20" w:firstLine="653"/>
        <w:spacing w:after="0" w:line="324" w:lineRule="auto"/>
        <w:tabs>
          <w:tab w:leader="none" w:pos="199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refinancings, refundings, renewals, extensions or exchange of any Subordinated Indebtedness permitted by </w:t>
      </w:r>
      <w:r>
        <w:rPr>
          <w:rFonts w:ascii="Arial" w:cs="Arial" w:eastAsia="Arial" w:hAnsi="Arial"/>
          <w:sz w:val="18"/>
          <w:szCs w:val="18"/>
          <w:u w:val="single" w:color="auto"/>
          <w:color w:val="auto"/>
        </w:rPr>
        <w:t>Section 9.1(c), (g)(ii)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(u),</w:t>
      </w:r>
      <w:r>
        <w:rPr>
          <w:rFonts w:ascii="Arial" w:cs="Arial" w:eastAsia="Arial" w:hAnsi="Arial"/>
          <w:sz w:val="18"/>
          <w:szCs w:val="18"/>
          <w:color w:val="auto"/>
        </w:rPr>
        <w:t xml:space="preserve"> and by any subordination provisions applicable thereto;</w:t>
      </w:r>
    </w:p>
    <w:p>
      <w:pPr>
        <w:spacing w:after="0" w:line="170" w:lineRule="exact"/>
        <w:rPr>
          <w:sz w:val="20"/>
          <w:szCs w:val="20"/>
          <w:color w:val="auto"/>
        </w:rPr>
      </w:pPr>
    </w:p>
    <w:p>
      <w:pPr>
        <w:ind w:left="620" w:right="20" w:firstLine="646"/>
        <w:spacing w:after="0" w:line="324" w:lineRule="auto"/>
        <w:tabs>
          <w:tab w:leader="none" w:pos="204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payments and prepayments of any Subordinated Indebtedness made solely with the proceeds of Qualified Equity Interests not otherwise required to prepay Loans pursuant to </w:t>
      </w:r>
      <w:r>
        <w:rPr>
          <w:rFonts w:ascii="Arial" w:cs="Arial" w:eastAsia="Arial" w:hAnsi="Arial"/>
          <w:sz w:val="18"/>
          <w:szCs w:val="18"/>
          <w:u w:val="single" w:color="auto"/>
          <w:color w:val="auto"/>
        </w:rPr>
        <w:t>Section 4.4(b(ii))</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40" w:firstLine="653"/>
        <w:spacing w:after="0" w:line="324" w:lineRule="auto"/>
        <w:tabs>
          <w:tab w:leader="none" w:pos="209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the payment of interest, expenses and indemnities in respect of Subordinated Indebtedness incurred under </w:t>
      </w:r>
      <w:r>
        <w:rPr>
          <w:rFonts w:ascii="Arial" w:cs="Arial" w:eastAsia="Arial" w:hAnsi="Arial"/>
          <w:sz w:val="18"/>
          <w:szCs w:val="18"/>
          <w:u w:val="single" w:color="auto"/>
          <w:color w:val="auto"/>
        </w:rPr>
        <w:t>Section 9.1(c), (g)(ii)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(u)</w:t>
      </w:r>
      <w:r>
        <w:rPr>
          <w:rFonts w:ascii="Arial" w:cs="Arial" w:eastAsia="Arial" w:hAnsi="Arial"/>
          <w:sz w:val="18"/>
          <w:szCs w:val="18"/>
          <w:color w:val="auto"/>
        </w:rPr>
        <w:t xml:space="preserve"> (other than any such payments prohibited by any subordination provisions applicable thereto).</w:t>
      </w:r>
    </w:p>
    <w:p>
      <w:pPr>
        <w:spacing w:after="0" w:line="14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No Further Negative Pledges; Restrictive Agreements</w:t>
      </w:r>
      <w:r>
        <w:rPr>
          <w:rFonts w:ascii="Arial" w:cs="Arial" w:eastAsia="Arial" w:hAnsi="Arial"/>
          <w:sz w:val="16"/>
          <w:szCs w:val="16"/>
          <w:color w:val="auto"/>
        </w:rPr>
        <w:t>.</w:t>
      </w:r>
    </w:p>
    <w:p>
      <w:pPr>
        <w:spacing w:after="0" w:line="252" w:lineRule="exact"/>
        <w:rPr>
          <w:sz w:val="20"/>
          <w:szCs w:val="20"/>
          <w:color w:val="auto"/>
        </w:rPr>
      </w:pPr>
    </w:p>
    <w:p>
      <w:pPr>
        <w:ind w:firstLine="644"/>
        <w:spacing w:after="0" w:line="395" w:lineRule="auto"/>
        <w:tabs>
          <w:tab w:leader="none" w:pos="138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obligation, except (i) pursuant to this Agreement and the other Loan Documents, (ii) pursuant to any document or instrument</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00"/>
          </w:cols>
          <w:pgMar w:left="360" w:top="611" w:right="239" w:bottom="1440" w:gutter="0" w:footer="0" w:header="0"/>
        </w:sectPr>
      </w:pPr>
    </w:p>
    <w:bookmarkStart w:id="151" w:name="page152"/>
    <w:bookmarkEnd w:id="151"/>
    <w:p>
      <w:pPr>
        <w:jc w:val="both"/>
        <w:ind w:left="4"/>
        <w:spacing w:after="0" w:line="259" w:lineRule="auto"/>
        <w:rPr>
          <w:sz w:val="20"/>
          <w:szCs w:val="20"/>
          <w:color w:val="auto"/>
        </w:rPr>
      </w:pPr>
      <w:r>
        <w:rPr>
          <w:rFonts w:ascii="Arial" w:cs="Arial" w:eastAsia="Arial" w:hAnsi="Arial"/>
          <w:sz w:val="18"/>
          <w:szCs w:val="18"/>
          <w:color w:val="auto"/>
        </w:rPr>
        <w:t xml:space="preserve">governing Indebtedness incurred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financed thereby), (iii) customary restrictions contained in the organizational documents of any Non-Guarantor Subsidiary as of the Closing Date and (iv) customary restrictions in connection with any Permitted Lien or any 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subject to such Permitted Lien).</w:t>
      </w:r>
    </w:p>
    <w:p>
      <w:pPr>
        <w:spacing w:after="0" w:line="214" w:lineRule="exact"/>
        <w:rPr>
          <w:sz w:val="20"/>
          <w:szCs w:val="20"/>
          <w:color w:val="auto"/>
        </w:rPr>
      </w:pPr>
    </w:p>
    <w:p>
      <w:pPr>
        <w:jc w:val="both"/>
        <w:ind w:left="4" w:firstLine="644"/>
        <w:spacing w:after="0" w:line="346" w:lineRule="auto"/>
        <w:tabs>
          <w:tab w:leader="none" w:pos="140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or (iii) make loans or advances to any Credit Party, except in each case for such encumbrances or restrictions existing under or by reason of (A) this Agreement and the other Loan Documents, (B) Applicable Law and (C) in connection with the sale of any assets or equity of a Credit Party or its Subsidiary permitted under this Agreement (but only to the extent such encumbrance or restriction is limited to the assets or equity that is the subject of such sale).</w:t>
      </w:r>
    </w:p>
    <w:p>
      <w:pPr>
        <w:spacing w:after="0" w:line="177" w:lineRule="exact"/>
        <w:rPr>
          <w:rFonts w:ascii="Arial" w:cs="Arial" w:eastAsia="Arial" w:hAnsi="Arial"/>
          <w:sz w:val="16"/>
          <w:szCs w:val="16"/>
          <w:color w:val="auto"/>
        </w:rPr>
      </w:pPr>
    </w:p>
    <w:p>
      <w:pPr>
        <w:jc w:val="both"/>
        <w:ind w:left="4" w:firstLine="644"/>
        <w:spacing w:after="0" w:line="334" w:lineRule="auto"/>
        <w:tabs>
          <w:tab w:leader="none" w:pos="139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 xml:space="preserve">Create or otherwise cause or suffer to exist or become effective any consensual encumbrance or restriction on the ability of any Credit Party or any Subsidiary thereof to (i) sell, lease or transfer any of its properties or assets to any Credit Party or (ii) act as a Credit Party pursuant to the Loan Documents or any renewals, refinancings, exchanges, refundings or extension thereof, except in each case for such encumbrances or restrictions existing under or by reason of (A) this Agreement and the other Loan Documents, (B) Applicable Law, (C) any document or instrument governing Indebtedness incurred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acquired in connection therewith),</w:t>
      </w:r>
    </w:p>
    <w:p>
      <w:pPr>
        <w:spacing w:after="0" w:line="2" w:lineRule="exact"/>
        <w:rPr>
          <w:rFonts w:ascii="Arial" w:cs="Arial" w:eastAsia="Arial" w:hAnsi="Arial"/>
          <w:sz w:val="16"/>
          <w:szCs w:val="16"/>
          <w:color w:val="auto"/>
        </w:rPr>
      </w:pPr>
    </w:p>
    <w:p>
      <w:pPr>
        <w:jc w:val="both"/>
        <w:ind w:left="4" w:hanging="4"/>
        <w:spacing w:after="0" w:line="322" w:lineRule="auto"/>
        <w:tabs>
          <w:tab w:leader="none" w:pos="3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any Permitted Lien or any document or instrument governing any Permitted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restriction contained therein relates only to the asset or assets subject to such Permitted Lien), (E) obligations that are binding on a Subsidiary at the time such Subsidiary first becomes a Subsidiary of the Borrower, so long as such obligations are not entered into in contemplation of such Person becoming a Subsidiary, (F) customary restrictions contained in an agreement related to the sale of Property (to the extent such sale is permitted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that limit the transfer of such Property pending the consummation of such sale, (G) customary restrictions in leases, subleases, licenses and sublicenses or asset sale agreements otherwise permitted by this Agreement so long as such restrictions relate only to the assets subject thereto and (H) customary provisions restricting assignment of any agreement entered into in the ordinary course of business.</w:t>
      </w:r>
    </w:p>
    <w:p>
      <w:pPr>
        <w:spacing w:after="0" w:line="163"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6"/>
          <w:szCs w:val="16"/>
          <w:u w:val="single" w:color="auto"/>
          <w:color w:val="auto"/>
        </w:rPr>
        <w:t xml:space="preserve">Nature of Business. </w:t>
      </w:r>
      <w:r>
        <w:rPr>
          <w:rFonts w:ascii="Arial" w:cs="Arial" w:eastAsia="Arial" w:hAnsi="Arial"/>
          <w:sz w:val="16"/>
          <w:szCs w:val="16"/>
          <w:color w:val="auto"/>
        </w:rPr>
        <w:t>Engage in any business other than a Permitted Business.</w:t>
      </w:r>
    </w:p>
    <w:p>
      <w:pPr>
        <w:spacing w:after="0" w:line="279"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Sale Leasebacks.</w:t>
      </w:r>
      <w:r>
        <w:rPr>
          <w:rFonts w:ascii="Arial" w:cs="Arial" w:eastAsia="Arial" w:hAnsi="Arial"/>
          <w:sz w:val="17"/>
          <w:szCs w:val="17"/>
          <w:color w:val="auto"/>
        </w:rPr>
        <w:t xml:space="preserve"> Directly or indirectly become or remain liable as lessee or as guarantor or other surety with respect to any lease, whether an operating lease or a Capital Lease, of any Property (whether real, personal or mixed), whether now owned or hereafter acquired, which any Credit Party or any Subsidiary thereof has sold or transferred or is to sell or transfer to a Person which is not another Credit Party or Subsidiary of a Credit Party in an aggregate amount exceeding $5,000,000 in any Fiscal Year or $10,000,000 during the term of this Agreement.</w:t>
      </w:r>
    </w:p>
    <w:p>
      <w:pPr>
        <w:spacing w:after="0" w:line="171"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Growth Capital Expenditures.</w:t>
      </w:r>
      <w:r>
        <w:rPr>
          <w:rFonts w:ascii="Arial" w:cs="Arial" w:eastAsia="Arial" w:hAnsi="Arial"/>
          <w:sz w:val="17"/>
          <w:szCs w:val="17"/>
          <w:color w:val="auto"/>
        </w:rPr>
        <w:t xml:space="preserve"> Permit the aggregate amount of all Growth Capital Expenditures in any Fiscal Year to exceed $40,000,000 in such Fiscal Year. Notwithstanding the foregoing, 50% of any portion of any amount set forth above, if not expended in the Fiscal Year for which it is permitted above, may be carried over for expenditure in the next following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amount is so carried over, (a) it will be deemed used in the applicable subsequent Fiscal Year and (b) it may not be carried over to another subsequent Fiscal Year. The amount of Capital Expenditures that are permitted to be made in any Fiscal Year shall be increased after the consummation of a Permitted Acquisition in an amount equal to 30% of the target’s EBITDA for the four (4) fiscal quarter period most recently ended.</w:t>
      </w:r>
    </w:p>
    <w:p>
      <w:pPr>
        <w:spacing w:after="0" w:line="178"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6"/>
          <w:szCs w:val="16"/>
          <w:u w:val="single" w:color="auto"/>
          <w:color w:val="auto"/>
        </w:rPr>
        <w:t>Financial Covenants.</w:t>
      </w:r>
    </w:p>
    <w:p>
      <w:pPr>
        <w:spacing w:after="0" w:line="252" w:lineRule="exact"/>
        <w:rPr>
          <w:sz w:val="20"/>
          <w:szCs w:val="20"/>
          <w:color w:val="auto"/>
        </w:rPr>
      </w:pPr>
    </w:p>
    <w:p>
      <w:pPr>
        <w:ind w:left="-36" w:right="20" w:firstLine="657"/>
        <w:spacing w:after="0" w:line="324" w:lineRule="auto"/>
        <w:tabs>
          <w:tab w:leader="none" w:pos="136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Total Lease Adjusted Leverage Ratio.</w:t>
      </w:r>
      <w:r>
        <w:rPr>
          <w:rFonts w:ascii="Arial" w:cs="Arial" w:eastAsia="Arial" w:hAnsi="Arial"/>
          <w:sz w:val="18"/>
          <w:szCs w:val="18"/>
          <w:color w:val="auto"/>
        </w:rPr>
        <w:t xml:space="preserve"> As of the last day of any fiscal quarter ending during the periods specified below, permit the Total Lease Adjusted Leverage Ratio to be greater than the corresponding ratio set forth below:</w:t>
      </w:r>
    </w:p>
    <w:p>
      <w:pPr>
        <w:spacing w:after="0" w:line="273" w:lineRule="exact"/>
        <w:rPr>
          <w:sz w:val="20"/>
          <w:szCs w:val="20"/>
          <w:color w:val="auto"/>
        </w:rPr>
      </w:pPr>
    </w:p>
    <w:tbl>
      <w:tblPr>
        <w:tblLayout w:type="fixed"/>
        <w:tblInd w:w="1834" w:type="dxa"/>
        <w:tblCellMar>
          <w:top w:w="0" w:type="dxa"/>
          <w:left w:w="0" w:type="dxa"/>
          <w:bottom w:w="0" w:type="dxa"/>
          <w:right w:w="0" w:type="dxa"/>
        </w:tblCellMar>
      </w:tblPr>
      <w:tr>
        <w:trPr>
          <w:trHeight w:val="257"/>
        </w:trPr>
        <w:tc>
          <w:tcPr>
            <w:tcW w:w="2980" w:type="dxa"/>
            <w:vAlign w:val="bottom"/>
            <w:tcBorders>
              <w:top w:val="single" w:sz="8" w:color="auto"/>
              <w:left w:val="single" w:sz="8" w:color="auto"/>
            </w:tcBorders>
          </w:tcPr>
          <w:p>
            <w:pPr>
              <w:ind w:left="1740"/>
              <w:spacing w:after="0"/>
              <w:rPr>
                <w:sz w:val="20"/>
                <w:szCs w:val="20"/>
                <w:color w:val="auto"/>
              </w:rPr>
            </w:pPr>
            <w:r>
              <w:rPr>
                <w:rFonts w:ascii="Arial" w:cs="Arial" w:eastAsia="Arial" w:hAnsi="Arial"/>
                <w:sz w:val="18"/>
                <w:szCs w:val="18"/>
                <w:b w:val="1"/>
                <w:bCs w:val="1"/>
                <w:color w:val="auto"/>
              </w:rPr>
              <w:t>Period</w:t>
            </w:r>
          </w:p>
        </w:tc>
        <w:tc>
          <w:tcPr>
            <w:tcW w:w="1000" w:type="dxa"/>
            <w:vAlign w:val="bottom"/>
            <w:tcBorders>
              <w:top w:val="single" w:sz="8" w:color="auto"/>
              <w:right w:val="single" w:sz="8" w:color="auto"/>
            </w:tcBorders>
          </w:tcPr>
          <w:p>
            <w:pPr>
              <w:spacing w:after="0"/>
              <w:rPr>
                <w:sz w:val="22"/>
                <w:szCs w:val="22"/>
                <w:color w:val="auto"/>
              </w:rPr>
            </w:pPr>
          </w:p>
        </w:tc>
        <w:tc>
          <w:tcPr>
            <w:tcW w:w="3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Maximum Ratio</w:t>
            </w:r>
          </w:p>
        </w:tc>
      </w:tr>
      <w:tr>
        <w:trPr>
          <w:trHeight w:val="27"/>
        </w:trPr>
        <w:tc>
          <w:tcPr>
            <w:tcW w:w="298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9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Closing Date through Q3-2015</w:t>
            </w:r>
          </w:p>
        </w:tc>
        <w:tc>
          <w:tcPr>
            <w:tcW w:w="10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5.25 to 1.00</w:t>
            </w:r>
          </w:p>
        </w:tc>
      </w:tr>
      <w:tr>
        <w:trPr>
          <w:trHeight w:val="27"/>
        </w:trPr>
        <w:tc>
          <w:tcPr>
            <w:tcW w:w="298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9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Q4-2015 through Q3-2016</w:t>
            </w:r>
          </w:p>
        </w:tc>
        <w:tc>
          <w:tcPr>
            <w:tcW w:w="10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5.00 to 1.00</w:t>
            </w:r>
          </w:p>
        </w:tc>
      </w:tr>
      <w:tr>
        <w:trPr>
          <w:trHeight w:val="27"/>
        </w:trPr>
        <w:tc>
          <w:tcPr>
            <w:tcW w:w="298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9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Q4-2016 through Q3-2017</w:t>
            </w:r>
          </w:p>
        </w:tc>
        <w:tc>
          <w:tcPr>
            <w:tcW w:w="10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4.75 to 1.00</w:t>
            </w:r>
          </w:p>
        </w:tc>
      </w:tr>
      <w:tr>
        <w:trPr>
          <w:trHeight w:val="27"/>
        </w:trPr>
        <w:tc>
          <w:tcPr>
            <w:tcW w:w="298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9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Q4-2017 and thereafter</w:t>
            </w:r>
          </w:p>
        </w:tc>
        <w:tc>
          <w:tcPr>
            <w:tcW w:w="10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4.50 to 1.00</w:t>
            </w:r>
          </w:p>
        </w:tc>
      </w:tr>
      <w:tr>
        <w:trPr>
          <w:trHeight w:val="27"/>
        </w:trPr>
        <w:tc>
          <w:tcPr>
            <w:tcW w:w="298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453"/>
        </w:trPr>
        <w:tc>
          <w:tcPr>
            <w:tcW w:w="29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3580" w:type="dxa"/>
            <w:vAlign w:val="bottom"/>
          </w:tcPr>
          <w:p>
            <w:pPr>
              <w:spacing w:after="0"/>
              <w:rPr>
                <w:sz w:val="24"/>
                <w:szCs w:val="24"/>
                <w:color w:val="auto"/>
              </w:rPr>
            </w:pPr>
          </w:p>
        </w:tc>
      </w:tr>
    </w:tbl>
    <w:p>
      <w:pPr>
        <w:sectPr>
          <w:pgSz w:w="11900" w:h="16838" w:orient="portrait"/>
          <w:cols w:equalWidth="0" w:num="1">
            <w:col w:w="11304"/>
          </w:cols>
          <w:pgMar w:left="356" w:top="652" w:right="239" w:bottom="1440" w:gutter="0" w:footer="0" w:header="0"/>
        </w:sectPr>
      </w:pPr>
    </w:p>
    <w:bookmarkStart w:id="152" w:name="page153"/>
    <w:bookmarkEnd w:id="152"/>
    <w:p>
      <w:pPr>
        <w:ind w:left="4" w:right="20" w:firstLine="644"/>
        <w:spacing w:after="0" w:line="324" w:lineRule="auto"/>
        <w:tabs>
          <w:tab w:leader="none" w:pos="140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As of the last day of any fiscal quarter, permit the Consolidated Fixed Charge Ratio to be less than 1.25 to 1.00.</w:t>
      </w:r>
    </w:p>
    <w:p>
      <w:pPr>
        <w:spacing w:after="0" w:line="183" w:lineRule="exact"/>
        <w:rPr>
          <w:rFonts w:ascii="Arial" w:cs="Arial" w:eastAsia="Arial" w:hAnsi="Arial"/>
          <w:sz w:val="18"/>
          <w:szCs w:val="18"/>
          <w:color w:val="auto"/>
        </w:rPr>
      </w:pPr>
    </w:p>
    <w:p>
      <w:pPr>
        <w:jc w:val="both"/>
        <w:ind w:left="4" w:firstLine="644"/>
        <w:spacing w:after="0" w:line="334" w:lineRule="auto"/>
        <w:tabs>
          <w:tab w:leader="none" w:pos="1392"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Specified Equity Contribution</w:t>
      </w:r>
      <w:r>
        <w:rPr>
          <w:rFonts w:ascii="Arial" w:cs="Arial" w:eastAsia="Arial" w:hAnsi="Arial"/>
          <w:sz w:val="16"/>
          <w:szCs w:val="16"/>
          <w:color w:val="auto"/>
        </w:rPr>
        <w:t xml:space="preserve">. Notwithstanding the above, the parties hereto acknowledge and agree that, solely for purposes of calculations made in determining compliance with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any cash equity contribution made to Holdings by, or issuance of Equity Interests by Holdings to (in each case other than Disqualified Equity Interests), the Permitted Investors (and which shall be contributed by Holdings to the Borrower) following the request therefor by Holdings, on or prior to the day that is ten (10) Business Days after the day on which financial statements are required to be delivered with respect to a fiscal year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a fiscal quarter pursuant to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as applicable, will be deemed to increase, dollar for dollar, Consolidated EBITDAR for the purposes of determining compliance with the financial covenants contained in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at the end of such fiscal year or fiscal quarter and each applicable subsequent period (any such equity contribution, a “</w:t>
      </w:r>
      <w:r>
        <w:rPr>
          <w:rFonts w:ascii="Arial" w:cs="Arial" w:eastAsia="Arial" w:hAnsi="Arial"/>
          <w:sz w:val="16"/>
          <w:szCs w:val="16"/>
          <w:u w:val="single" w:color="auto"/>
          <w:color w:val="auto"/>
        </w:rPr>
        <w:t>Specified Equity Contribution”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 w:lineRule="exact"/>
        <w:rPr>
          <w:rFonts w:ascii="Arial" w:cs="Arial" w:eastAsia="Arial" w:hAnsi="Arial"/>
          <w:sz w:val="16"/>
          <w:szCs w:val="16"/>
          <w:color w:val="auto"/>
        </w:rPr>
      </w:pPr>
    </w:p>
    <w:p>
      <w:pPr>
        <w:ind w:left="224" w:hanging="224"/>
        <w:spacing w:after="0"/>
        <w:tabs>
          <w:tab w:leader="none" w:pos="22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there shall not be more than two (2) Specified Equity Contributions in any four (4) consecutive fiscal quarter period, (ii) there shall not be more than four</w:t>
      </w:r>
    </w:p>
    <w:p>
      <w:pPr>
        <w:spacing w:after="0" w:line="72" w:lineRule="exact"/>
        <w:rPr>
          <w:rFonts w:ascii="Arial" w:cs="Arial" w:eastAsia="Arial" w:hAnsi="Arial"/>
          <w:sz w:val="16"/>
          <w:szCs w:val="16"/>
          <w:color w:val="auto"/>
        </w:rPr>
      </w:pPr>
    </w:p>
    <w:p>
      <w:pPr>
        <w:jc w:val="both"/>
        <w:ind w:left="4"/>
        <w:spacing w:after="0" w:line="318" w:lineRule="auto"/>
        <w:rPr>
          <w:rFonts w:ascii="Arial" w:cs="Arial" w:eastAsia="Arial" w:hAnsi="Arial"/>
          <w:sz w:val="16"/>
          <w:szCs w:val="16"/>
          <w:color w:val="auto"/>
        </w:rPr>
      </w:pPr>
      <w:r>
        <w:rPr>
          <w:rFonts w:ascii="Arial" w:cs="Arial" w:eastAsia="Arial" w:hAnsi="Arial"/>
          <w:sz w:val="17"/>
          <w:szCs w:val="17"/>
          <w:color w:val="auto"/>
        </w:rPr>
        <w:t xml:space="preserve">(4) Specified Equity Contributions made during the term of this Agreement, (iii) the amount of any Specified Equity Contribution shall be no greater than the amount required to cause the Credit Parties to be in compliance with the financial covenants set forth above, (iv) any Indebtedness repaid with the proceeds of the Specified Equity Contribution shall be disregarded for purposes of calculating the financial covenants for each such period during which the Specified Equity Contribution is included in the calculation of Consolidated EBITDA, and (v) a Specified Equity Contribution shall only be included in the computation of the financial covenants for purposes of determining compliance by the Credit Parties with this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and not for any other purpose under this Agreement (including, without limitation, any determination of the Applicable Margin, any compliance with this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set forth in the definition of Permitted Acquisition and in the determination of the availability of any baskets set forth in Article VIII or Article IX). Upon the making of a Specified Equity Contribution, the financial covenants in this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shall be recalculated giving effect to the increase in Consolidated EBITDA;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subsection shall waive any Default or Event of Default that exists pursuant to clauses (a) or (b) of this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until such recalculation. If, after giving effect to such recalculation, the Credit Parties are in compliance with the financial covenants, the Credit Parties shall be deemed to have satisfied the requirements of the financial covenants retroactively as of the relevant date of determination with the same effect as though there had been no failure to comply therewith at such date and the applicable Default or Event of Default that had occurred shall be deemed waived and not to have occurred for all purposes of this Agreement and the other Credit Documents.</w:t>
      </w:r>
    </w:p>
    <w:p>
      <w:pPr>
        <w:spacing w:after="0" w:line="171"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u w:val="single" w:color="auto"/>
          <w:color w:val="auto"/>
        </w:rPr>
        <w:t xml:space="preserve">Limitations on Holdings. </w:t>
      </w:r>
      <w:r>
        <w:rPr>
          <w:rFonts w:ascii="Arial" w:cs="Arial" w:eastAsia="Arial" w:hAnsi="Arial"/>
          <w:sz w:val="16"/>
          <w:szCs w:val="16"/>
          <w:color w:val="auto"/>
        </w:rPr>
        <w:t>Permit Holdings to:</w:t>
      </w:r>
    </w:p>
    <w:p>
      <w:pPr>
        <w:spacing w:after="0" w:line="252" w:lineRule="exact"/>
        <w:rPr>
          <w:sz w:val="20"/>
          <w:szCs w:val="20"/>
          <w:color w:val="auto"/>
        </w:rPr>
      </w:pPr>
    </w:p>
    <w:p>
      <w:pPr>
        <w:jc w:val="both"/>
        <w:ind w:left="4" w:firstLine="644"/>
        <w:spacing w:after="0" w:line="287" w:lineRule="auto"/>
        <w:tabs>
          <w:tab w:leader="none" w:pos="139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hold any assets other than (i) the Equity Interests of the Borrower (and/or intercompany advances to the Borrower), (ii) assets, properties or rights that are not capable of being sold, assigned, transferred or conveyed to the Borrower without the consent of any other Person, or if such assignment or attempted assignment would constitute a breach thereof, or a violation of any Applicable Law,</w:t>
      </w:r>
    </w:p>
    <w:p>
      <w:pPr>
        <w:spacing w:after="0" w:line="1" w:lineRule="exact"/>
        <w:rPr>
          <w:rFonts w:ascii="Arial" w:cs="Arial" w:eastAsia="Arial" w:hAnsi="Arial"/>
          <w:sz w:val="18"/>
          <w:szCs w:val="18"/>
          <w:color w:val="auto"/>
        </w:rPr>
      </w:pPr>
    </w:p>
    <w:p>
      <w:pPr>
        <w:ind w:left="4" w:hanging="4"/>
        <w:spacing w:after="0" w:line="276" w:lineRule="auto"/>
        <w:tabs>
          <w:tab w:leader="none" w:pos="3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agreements relating to the issuance, sale, purchase, repurchase or registration of securities of Holdings, (iv) minute books and other corporate books and records of Holdings and (v) other miscellaneous non-material assets;</w:t>
      </w:r>
    </w:p>
    <w:p>
      <w:pPr>
        <w:spacing w:after="0" w:line="198" w:lineRule="exact"/>
        <w:rPr>
          <w:rFonts w:ascii="Arial" w:cs="Arial" w:eastAsia="Arial" w:hAnsi="Arial"/>
          <w:sz w:val="18"/>
          <w:szCs w:val="18"/>
          <w:color w:val="auto"/>
        </w:rPr>
      </w:pPr>
    </w:p>
    <w:p>
      <w:pPr>
        <w:ind w:left="1404" w:hanging="756"/>
        <w:spacing w:after="0"/>
        <w:tabs>
          <w:tab w:leader="none" w:pos="140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have any liabilities other than (i) the liabilities under the Loan Documents, (ii) tax liabilities arising in the ordinary course of business,</w:t>
      </w:r>
    </w:p>
    <w:p>
      <w:pPr>
        <w:spacing w:after="0" w:line="61" w:lineRule="exact"/>
        <w:rPr>
          <w:rFonts w:ascii="Arial" w:cs="Arial" w:eastAsia="Arial" w:hAnsi="Arial"/>
          <w:sz w:val="17"/>
          <w:szCs w:val="17"/>
          <w:color w:val="auto"/>
        </w:rPr>
      </w:pPr>
    </w:p>
    <w:p>
      <w:pPr>
        <w:ind w:left="4" w:hanging="4"/>
        <w:spacing w:after="0" w:line="282" w:lineRule="auto"/>
        <w:tabs>
          <w:tab w:leader="none" w:pos="34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Indebtedness permitted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Investments permitted under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(iv) corporate, administrative and operating expenses in the ordinary course of business and (v) liabilities under any contracts or agreements described in (a)(ii) and</w:t>
      </w:r>
    </w:p>
    <w:p>
      <w:pPr>
        <w:ind w:left="324" w:hanging="324"/>
        <w:spacing w:after="0"/>
        <w:tabs>
          <w:tab w:leader="none" w:pos="3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above; or</w:t>
      </w:r>
    </w:p>
    <w:p>
      <w:pPr>
        <w:spacing w:after="0" w:line="251" w:lineRule="exact"/>
        <w:rPr>
          <w:rFonts w:ascii="Arial" w:cs="Arial" w:eastAsia="Arial" w:hAnsi="Arial"/>
          <w:sz w:val="18"/>
          <w:szCs w:val="18"/>
          <w:color w:val="auto"/>
        </w:rPr>
      </w:pPr>
    </w:p>
    <w:p>
      <w:pPr>
        <w:jc w:val="both"/>
        <w:ind w:left="4" w:firstLine="644"/>
        <w:spacing w:after="0" w:line="311" w:lineRule="auto"/>
        <w:tabs>
          <w:tab w:leader="none" w:pos="13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other than (i) issuing shares of its own Qualified Equity Interests, (ii) holding the assets and incurring the liabilities described in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and activities incidental and related thereto or (iii) making payments, dividends, distributions, issuances or other activities permitted pursuant to </w:t>
      </w:r>
      <w:r>
        <w:rPr>
          <w:rFonts w:ascii="Arial" w:cs="Arial" w:eastAsia="Arial" w:hAnsi="Arial"/>
          <w:sz w:val="18"/>
          <w:szCs w:val="18"/>
          <w:u w:val="single" w:color="auto"/>
          <w:color w:val="auto"/>
        </w:rPr>
        <w:t>Sections 9.6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p>
    <w:p>
      <w:pPr>
        <w:spacing w:after="0" w:line="208"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Disposal of Subsidiary Interests.</w:t>
      </w:r>
      <w:r>
        <w:rPr>
          <w:rFonts w:ascii="Arial" w:cs="Arial" w:eastAsia="Arial" w:hAnsi="Arial"/>
          <w:sz w:val="18"/>
          <w:szCs w:val="18"/>
          <w:color w:val="auto"/>
        </w:rPr>
        <w:t xml:space="preserve"> Permit any Domestic Subsidiary to be a non- Wholly-Owned Subsidiary except as a result of or in connection with a dissolution, merger, amalgamation, consolidation or disposition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04"/>
          </w:cols>
          <w:pgMar w:left="356" w:top="827" w:right="239" w:bottom="1440" w:gutter="0" w:footer="0" w:header="0"/>
        </w:sectPr>
      </w:pPr>
    </w:p>
    <w:bookmarkStart w:id="153" w:name="page154"/>
    <w:bookmarkEnd w:id="153"/>
    <w:p>
      <w:pPr>
        <w:ind w:left="3020"/>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DEFAULT AND REMEDIES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Each of the following shall constitute an Event of Default:</w:t>
      </w:r>
    </w:p>
    <w:p>
      <w:pPr>
        <w:spacing w:after="0" w:line="252" w:lineRule="exact"/>
        <w:rPr>
          <w:sz w:val="20"/>
          <w:szCs w:val="20"/>
          <w:color w:val="auto"/>
        </w:rPr>
      </w:pPr>
    </w:p>
    <w:p>
      <w:pPr>
        <w:ind w:left="-640" w:firstLine="644"/>
        <w:spacing w:after="0" w:line="324" w:lineRule="auto"/>
        <w:tabs>
          <w:tab w:leader="none" w:pos="74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 of Loans and Reimbursement Obligations.</w:t>
      </w:r>
      <w:r>
        <w:rPr>
          <w:rFonts w:ascii="Arial" w:cs="Arial" w:eastAsia="Arial" w:hAnsi="Arial"/>
          <w:sz w:val="18"/>
          <w:szCs w:val="18"/>
          <w:color w:val="auto"/>
        </w:rPr>
        <w:t xml:space="preserve"> The Borrower shall default in any payment of principal of any Loan or Reimbursement Obligation when and as due (whether at maturity, by reason of acceleration or otherwise).</w:t>
      </w:r>
    </w:p>
    <w:p>
      <w:pPr>
        <w:spacing w:after="0" w:line="170" w:lineRule="exact"/>
        <w:rPr>
          <w:rFonts w:ascii="Arial" w:cs="Arial" w:eastAsia="Arial" w:hAnsi="Arial"/>
          <w:sz w:val="18"/>
          <w:szCs w:val="18"/>
          <w:color w:val="auto"/>
        </w:rPr>
      </w:pPr>
    </w:p>
    <w:p>
      <w:pPr>
        <w:jc w:val="both"/>
        <w:ind w:left="-640" w:firstLine="644"/>
        <w:spacing w:after="0" w:line="311" w:lineRule="auto"/>
        <w:tabs>
          <w:tab w:leader="none" w:pos="75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Other Payment Default.</w:t>
      </w:r>
      <w:r>
        <w:rPr>
          <w:rFonts w:ascii="Arial" w:cs="Arial" w:eastAsia="Arial" w:hAnsi="Arial"/>
          <w:sz w:val="18"/>
          <w:szCs w:val="18"/>
          <w:color w:val="auto"/>
        </w:rPr>
        <w:t xml:space="preserve"> The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1" w:lineRule="exact"/>
        <w:rPr>
          <w:rFonts w:ascii="Arial" w:cs="Arial" w:eastAsia="Arial" w:hAnsi="Arial"/>
          <w:sz w:val="18"/>
          <w:szCs w:val="18"/>
          <w:color w:val="auto"/>
        </w:rPr>
      </w:pPr>
    </w:p>
    <w:p>
      <w:pPr>
        <w:jc w:val="both"/>
        <w:ind w:left="-640" w:firstLine="644"/>
        <w:spacing w:after="0" w:line="323" w:lineRule="auto"/>
        <w:tabs>
          <w:tab w:leader="none" w:pos="748"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Misrepresentation.</w:t>
      </w:r>
      <w:r>
        <w:rPr>
          <w:rFonts w:ascii="Arial" w:cs="Arial" w:eastAsia="Arial" w:hAnsi="Arial"/>
          <w:sz w:val="17"/>
          <w:szCs w:val="17"/>
          <w:color w:val="auto"/>
        </w:rPr>
        <w:t xml:space="preserve"> Any representation, warranty, certification or statement of fact made or deemed made by or on behalf of any Credit Party or any Material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Material Subsidiary thereof in this Agreement,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91" w:lineRule="exact"/>
        <w:rPr>
          <w:sz w:val="20"/>
          <w:szCs w:val="20"/>
          <w:color w:val="auto"/>
        </w:rPr>
      </w:pPr>
    </w:p>
    <w:p>
      <w:pPr>
        <w:ind w:left="-640" w:firstLine="644"/>
        <w:spacing w:after="0" w:line="357" w:lineRule="auto"/>
        <w:tabs>
          <w:tab w:leader="none" w:pos="74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Default in Performance of Certain Covenants</w:t>
      </w:r>
      <w:r>
        <w:rPr>
          <w:rFonts w:ascii="Arial" w:cs="Arial" w:eastAsia="Arial" w:hAnsi="Arial"/>
          <w:sz w:val="17"/>
          <w:szCs w:val="17"/>
          <w:color w:val="auto"/>
        </w:rPr>
        <w:t xml:space="preserve">. Any Credit Party or any Material Subsidiary thereof shall default in the performance or observance of any covenant or agreement contained in </w:t>
      </w:r>
      <w:r>
        <w:rPr>
          <w:rFonts w:ascii="Arial" w:cs="Arial" w:eastAsia="Arial" w:hAnsi="Arial"/>
          <w:sz w:val="17"/>
          <w:szCs w:val="17"/>
          <w:u w:val="single" w:color="auto"/>
          <w:color w:val="auto"/>
        </w:rPr>
        <w:t>Sections 8.1, 8.2, 8.3</w:t>
      </w:r>
      <w:r>
        <w:rPr>
          <w:rFonts w:ascii="Arial" w:cs="Arial" w:eastAsia="Arial" w:hAnsi="Arial"/>
          <w:sz w:val="17"/>
          <w:szCs w:val="17"/>
          <w:color w:val="auto"/>
        </w:rPr>
        <w:t xml:space="preserve"> (a), </w:t>
      </w:r>
      <w:r>
        <w:rPr>
          <w:rFonts w:ascii="Arial" w:cs="Arial" w:eastAsia="Arial" w:hAnsi="Arial"/>
          <w:sz w:val="17"/>
          <w:szCs w:val="17"/>
          <w:u w:val="single" w:color="auto"/>
          <w:color w:val="auto"/>
        </w:rPr>
        <w:t>8.4, 8.13</w:t>
      </w:r>
      <w:r>
        <w:rPr>
          <w:rFonts w:ascii="Arial" w:cs="Arial" w:eastAsia="Arial" w:hAnsi="Arial"/>
          <w:sz w:val="17"/>
          <w:szCs w:val="17"/>
          <w:color w:val="auto"/>
        </w:rPr>
        <w:t xml:space="preserve">, </w:t>
      </w:r>
      <w:r>
        <w:rPr>
          <w:rFonts w:ascii="Arial" w:cs="Arial" w:eastAsia="Arial" w:hAnsi="Arial"/>
          <w:sz w:val="17"/>
          <w:szCs w:val="17"/>
          <w:u w:val="single" w:color="auto"/>
          <w:color w:val="auto"/>
        </w:rPr>
        <w:t>8.14, 8.15, 8.17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IX.</w:t>
      </w:r>
    </w:p>
    <w:p>
      <w:pPr>
        <w:spacing w:after="0" w:line="147" w:lineRule="exact"/>
        <w:rPr>
          <w:rFonts w:ascii="Arial" w:cs="Arial" w:eastAsia="Arial" w:hAnsi="Arial"/>
          <w:sz w:val="17"/>
          <w:szCs w:val="17"/>
          <w:color w:val="auto"/>
        </w:rPr>
      </w:pPr>
    </w:p>
    <w:p>
      <w:pPr>
        <w:jc w:val="both"/>
        <w:ind w:left="-640" w:firstLine="644"/>
        <w:spacing w:after="0" w:line="329" w:lineRule="auto"/>
        <w:tabs>
          <w:tab w:leader="none" w:pos="75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Default in Performance of Other Covenants and Conditions.</w:t>
      </w:r>
      <w:r>
        <w:rPr>
          <w:rFonts w:ascii="Arial" w:cs="Arial" w:eastAsia="Arial" w:hAnsi="Arial"/>
          <w:sz w:val="17"/>
          <w:szCs w:val="17"/>
          <w:color w:val="auto"/>
        </w:rPr>
        <w:t xml:space="preserve"> Any Credit Party or any Material Subsidiary thereof shall default in the performance or observance of any term, covenant, condition or agreement contained in this Agreement (other than as specifically provided for in this Section) or any other Loan Document and such default shall continue for a period of thirty (30) days after the earlier of (i) the Administrative Agent’s delivery of written notice thereof to the Borrower and (ii) a Responsible Officer of any Credit Party having obtained knowledge thereof.</w:t>
      </w:r>
    </w:p>
    <w:p>
      <w:pPr>
        <w:spacing w:after="0" w:line="184" w:lineRule="exact"/>
        <w:rPr>
          <w:sz w:val="20"/>
          <w:szCs w:val="20"/>
          <w:color w:val="auto"/>
        </w:rPr>
      </w:pPr>
    </w:p>
    <w:p>
      <w:pPr>
        <w:jc w:val="both"/>
        <w:ind w:left="-640" w:firstLine="644"/>
        <w:spacing w:after="0" w:line="300" w:lineRule="auto"/>
        <w:tabs>
          <w:tab w:leader="none" w:pos="748"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 xml:space="preserve"> Any Credit Party or any Material Subsidiary thereof shall default in the payment of any Indebtedness (other than the Loans or any Reimbursement Obligation) the aggregate principal amount (including undrawn committed or available amounts),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principal amount (including undrawn committed or available amounts),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w:t>
      </w:r>
    </w:p>
    <w:p>
      <w:pPr>
        <w:spacing w:after="0" w:line="168" w:lineRule="exact"/>
        <w:rPr>
          <w:sz w:val="20"/>
          <w:szCs w:val="20"/>
          <w:color w:val="auto"/>
        </w:rPr>
      </w:pPr>
    </w:p>
    <w:p>
      <w:pPr>
        <w:ind w:left="660" w:hanging="656"/>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Any Change in Control shall occur.</w:t>
      </w:r>
    </w:p>
    <w:p>
      <w:pPr>
        <w:spacing w:after="0" w:line="252" w:lineRule="exact"/>
        <w:rPr>
          <w:rFonts w:ascii="Arial" w:cs="Arial" w:eastAsia="Arial" w:hAnsi="Arial"/>
          <w:sz w:val="18"/>
          <w:szCs w:val="18"/>
          <w:color w:val="auto"/>
        </w:rPr>
      </w:pPr>
    </w:p>
    <w:p>
      <w:pPr>
        <w:jc w:val="both"/>
        <w:ind w:left="-640" w:firstLine="644"/>
        <w:spacing w:after="0" w:line="323" w:lineRule="auto"/>
        <w:tabs>
          <w:tab w:leader="none" w:pos="758"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Voluntary Bankruptcy Proceeding.</w:t>
      </w:r>
      <w:r>
        <w:rPr>
          <w:rFonts w:ascii="Arial" w:cs="Arial" w:eastAsia="Arial" w:hAnsi="Arial"/>
          <w:sz w:val="17"/>
          <w:szCs w:val="17"/>
          <w:color w:val="auto"/>
        </w:rPr>
        <w:t xml:space="preserve"> Any Credit Party or any Material Subsidiary thereof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77" w:lineRule="exact"/>
        <w:rPr>
          <w:rFonts w:ascii="Arial" w:cs="Arial" w:eastAsia="Arial" w:hAnsi="Arial"/>
          <w:sz w:val="17"/>
          <w:szCs w:val="17"/>
          <w:color w:val="auto"/>
        </w:rPr>
      </w:pPr>
    </w:p>
    <w:p>
      <w:pPr>
        <w:ind w:left="-640" w:firstLine="644"/>
        <w:spacing w:after="0" w:line="324" w:lineRule="auto"/>
        <w:tabs>
          <w:tab w:leader="none" w:pos="74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Involuntary Bankruptcy Proceeding.</w:t>
      </w:r>
      <w:r>
        <w:rPr>
          <w:rFonts w:ascii="Arial" w:cs="Arial" w:eastAsia="Arial" w:hAnsi="Arial"/>
          <w:sz w:val="18"/>
          <w:szCs w:val="18"/>
          <w:color w:val="auto"/>
        </w:rPr>
        <w:t xml:space="preserve"> A case or other proceeding shall be commenced against any Credit Party or any Material Subsidiary thereof in any court of competent jurisdiction seeking</w:t>
      </w:r>
    </w:p>
    <w:p>
      <w:pPr>
        <w:sectPr>
          <w:pgSz w:w="11900" w:h="16838" w:orient="portrait"/>
          <w:cols w:equalWidth="0" w:num="1">
            <w:col w:w="10660"/>
          </w:cols>
          <w:pgMar w:left="1000" w:top="733" w:right="239" w:bottom="1440" w:gutter="0" w:footer="0" w:header="0"/>
        </w:sectPr>
      </w:pPr>
    </w:p>
    <w:p>
      <w:pPr>
        <w:spacing w:after="0" w:line="170"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660"/>
          </w:cols>
          <w:pgMar w:left="1000" w:top="733" w:right="239" w:bottom="1440" w:gutter="0" w:footer="0" w:header="0"/>
          <w:type w:val="continuous"/>
        </w:sectPr>
      </w:pPr>
    </w:p>
    <w:bookmarkStart w:id="154" w:name="page155"/>
    <w:bookmarkEnd w:id="154"/>
    <w:p>
      <w:pPr>
        <w:jc w:val="both"/>
        <w:ind w:left="4" w:hanging="4"/>
        <w:spacing w:after="0" w:line="258" w:lineRule="auto"/>
        <w:tabs>
          <w:tab w:leader="none" w:pos="23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relief under any Debtor Relief Laws, or (ii) the appointment of a trustee, receiver, custodian, liquidator or the like for any Credit Party or any Material Subsidiary thereof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 w:lineRule="exact"/>
        <w:rPr>
          <w:rFonts w:ascii="Arial" w:cs="Arial" w:eastAsia="Arial" w:hAnsi="Arial"/>
          <w:sz w:val="18"/>
          <w:szCs w:val="18"/>
          <w:color w:val="auto"/>
        </w:rPr>
      </w:pPr>
    </w:p>
    <w:p>
      <w:pPr>
        <w:jc w:val="both"/>
        <w:ind w:left="4" w:firstLine="644"/>
        <w:spacing w:after="0" w:line="329" w:lineRule="auto"/>
        <w:tabs>
          <w:tab w:leader="none" w:pos="1372"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Failure of Agreements.</w:t>
      </w:r>
      <w:r>
        <w:rPr>
          <w:rFonts w:ascii="Arial" w:cs="Arial" w:eastAsia="Arial" w:hAnsi="Arial"/>
          <w:sz w:val="17"/>
          <w:szCs w:val="17"/>
          <w:color w:val="auto"/>
        </w:rPr>
        <w:t xml:space="preserve"> Any provision of this Agreement or any provision of any other Loan Document shall for any reason cease to be valid and binding on any Credit Party or any Material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84" w:lineRule="exact"/>
        <w:rPr>
          <w:rFonts w:ascii="Arial" w:cs="Arial" w:eastAsia="Arial" w:hAnsi="Arial"/>
          <w:sz w:val="17"/>
          <w:szCs w:val="17"/>
          <w:color w:val="auto"/>
        </w:rPr>
      </w:pPr>
    </w:p>
    <w:p>
      <w:pPr>
        <w:jc w:val="both"/>
        <w:ind w:left="4" w:firstLine="644"/>
        <w:spacing w:after="0" w:line="302" w:lineRule="auto"/>
        <w:tabs>
          <w:tab w:leader="none" w:pos="1402"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ERISA Events.</w:t>
      </w:r>
      <w:r>
        <w:rPr>
          <w:rFonts w:ascii="Arial" w:cs="Arial" w:eastAsia="Arial" w:hAnsi="Arial"/>
          <w:sz w:val="18"/>
          <w:szCs w:val="18"/>
          <w:color w:val="auto"/>
        </w:rPr>
        <w:t xml:space="preserve">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 Termination Event or (iii)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192" w:lineRule="exact"/>
        <w:rPr>
          <w:rFonts w:ascii="Arial" w:cs="Arial" w:eastAsia="Arial" w:hAnsi="Arial"/>
          <w:sz w:val="18"/>
          <w:szCs w:val="18"/>
          <w:color w:val="auto"/>
        </w:rPr>
      </w:pPr>
    </w:p>
    <w:p>
      <w:pPr>
        <w:jc w:val="both"/>
        <w:ind w:left="4" w:firstLine="644"/>
        <w:spacing w:after="0" w:line="329" w:lineRule="auto"/>
        <w:tabs>
          <w:tab w:leader="none" w:pos="1402"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Judgment.</w:t>
      </w:r>
      <w:r>
        <w:rPr>
          <w:rFonts w:ascii="Arial" w:cs="Arial" w:eastAsia="Arial" w:hAnsi="Arial"/>
          <w:sz w:val="17"/>
          <w:szCs w:val="17"/>
          <w:color w:val="auto"/>
        </w:rPr>
        <w:t xml:space="preserve">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Material Subsidiary thereof by any court and such judgment or order shall continue without having been paid, discharged, vacated or stayed for a period of thirty (30) consecutive days after the entry thereof.</w:t>
      </w:r>
    </w:p>
    <w:p>
      <w:pPr>
        <w:spacing w:after="0" w:line="144" w:lineRule="exact"/>
        <w:rPr>
          <w:sz w:val="20"/>
          <w:szCs w:val="20"/>
          <w:color w:val="auto"/>
        </w:rPr>
      </w:pPr>
    </w:p>
    <w:p>
      <w:pPr>
        <w:ind w:left="644"/>
        <w:spacing w:after="0"/>
        <w:tabs>
          <w:tab w:leader="none" w:pos="2724" w:val="left"/>
        </w:tabs>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Remedies.</w:t>
      </w:r>
      <w:r>
        <w:rPr>
          <w:sz w:val="20"/>
          <w:szCs w:val="20"/>
          <w:color w:val="auto"/>
        </w:rPr>
        <w:tab/>
      </w:r>
      <w:r>
        <w:rPr>
          <w:rFonts w:ascii="Arial" w:cs="Arial" w:eastAsia="Arial" w:hAnsi="Arial"/>
          <w:sz w:val="16"/>
          <w:szCs w:val="16"/>
          <w:color w:val="auto"/>
        </w:rPr>
        <w:t>Upon the occurrence and during the continuance of an Event of Default, with the consent of the Required Lenders,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 may, or upon the request of the Required Lenders, the Administrative Agent shall, by notice to the Borrower:</w:t>
      </w:r>
    </w:p>
    <w:p>
      <w:pPr>
        <w:spacing w:after="0" w:line="238" w:lineRule="exact"/>
        <w:rPr>
          <w:sz w:val="20"/>
          <w:szCs w:val="20"/>
          <w:color w:val="auto"/>
        </w:rPr>
      </w:pPr>
    </w:p>
    <w:p>
      <w:pPr>
        <w:jc w:val="both"/>
        <w:ind w:left="4" w:firstLine="644"/>
        <w:spacing w:after="0" w:line="319" w:lineRule="auto"/>
        <w:tabs>
          <w:tab w:leader="none" w:pos="1392"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Acceleration; Termination of Credit Facility</w:t>
      </w:r>
      <w:r>
        <w:rPr>
          <w:rFonts w:ascii="Arial" w:cs="Arial" w:eastAsia="Arial" w:hAnsi="Arial"/>
          <w:sz w:val="17"/>
          <w:szCs w:val="17"/>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 to request borrowings or Letters of Credit thereunder; provided, that upon the occurrence of an Event of Default specified in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97" w:lineRule="exact"/>
        <w:rPr>
          <w:rFonts w:ascii="Arial" w:cs="Arial" w:eastAsia="Arial" w:hAnsi="Arial"/>
          <w:sz w:val="17"/>
          <w:szCs w:val="17"/>
          <w:color w:val="auto"/>
        </w:rPr>
      </w:pPr>
    </w:p>
    <w:p>
      <w:pPr>
        <w:jc w:val="both"/>
        <w:ind w:left="4" w:firstLine="644"/>
        <w:spacing w:after="0" w:line="302" w:lineRule="auto"/>
        <w:tabs>
          <w:tab w:leader="none" w:pos="140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With respect to all Letters of Credit with respect to which presentment for honor shall not have occurred at the time of an acceleration pursuant to the preceding paragraph, the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After all such Letters of Credit shall have expired or been fully drawn</w:t>
      </w:r>
    </w:p>
    <w:p>
      <w:pPr>
        <w:spacing w:after="0" w:line="1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upon, the Reimbursement Obligation shall have been satisfied and all other Secured Obligations shall have been paid in full, the balance, if any, in such Cash Collateral account shall be returned to the Borrower.</w:t>
      </w:r>
    </w:p>
    <w:p>
      <w:pPr>
        <w:spacing w:after="0" w:line="211" w:lineRule="exact"/>
        <w:rPr>
          <w:sz w:val="20"/>
          <w:szCs w:val="20"/>
          <w:color w:val="auto"/>
        </w:rPr>
      </w:pPr>
    </w:p>
    <w:p>
      <w:pPr>
        <w:ind w:left="4" w:right="20" w:firstLine="644"/>
        <w:spacing w:after="0" w:line="324" w:lineRule="auto"/>
        <w:tabs>
          <w:tab w:leader="none" w:pos="139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General Remedies.</w:t>
      </w:r>
      <w:r>
        <w:rPr>
          <w:rFonts w:ascii="Arial" w:cs="Arial" w:eastAsia="Arial" w:hAnsi="Arial"/>
          <w:sz w:val="18"/>
          <w:szCs w:val="18"/>
          <w:color w:val="auto"/>
        </w:rPr>
        <w:t xml:space="preserve"> Exercise on behalf of the Secured Parties all of its other rights and remedies under this Agreement, the other Loan Documents and Applicable Law, in order to satisfy all of the Secured Obligations.</w:t>
      </w:r>
    </w:p>
    <w:p>
      <w:pPr>
        <w:spacing w:after="0" w:line="157"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Rights and Remedies Cumulative; Non-Waiver; etc.</w:t>
      </w:r>
    </w:p>
    <w:p>
      <w:pPr>
        <w:spacing w:after="0" w:line="252" w:lineRule="exact"/>
        <w:rPr>
          <w:sz w:val="20"/>
          <w:szCs w:val="20"/>
          <w:color w:val="auto"/>
        </w:rPr>
      </w:pPr>
    </w:p>
    <w:p>
      <w:pPr>
        <w:ind w:left="5504" w:right="2380" w:hanging="4856"/>
        <w:spacing w:after="0" w:line="575" w:lineRule="auto"/>
        <w:tabs>
          <w:tab w:leader="none" w:pos="138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enumeration of the rights and remedies of the Administrative Agent and the Lenders set forth in this 83</w:t>
      </w:r>
    </w:p>
    <w:p>
      <w:pPr>
        <w:sectPr>
          <w:pgSz w:w="11900" w:h="16838" w:orient="portrait"/>
          <w:cols w:equalWidth="0" w:num="1">
            <w:col w:w="11304"/>
          </w:cols>
          <w:pgMar w:left="356" w:top="584" w:right="239" w:bottom="1440" w:gutter="0" w:footer="0" w:header="0"/>
        </w:sectPr>
      </w:pPr>
    </w:p>
    <w:bookmarkStart w:id="155" w:name="page156"/>
    <w:bookmarkEnd w:id="155"/>
    <w:p>
      <w:pPr>
        <w:jc w:val="both"/>
        <w:spacing w:after="0" w:line="301" w:lineRule="auto"/>
        <w:rPr>
          <w:sz w:val="20"/>
          <w:szCs w:val="20"/>
          <w:color w:val="auto"/>
        </w:rPr>
      </w:pPr>
      <w:r>
        <w:rPr>
          <w:rFonts w:ascii="Arial" w:cs="Arial" w:eastAsia="Arial" w:hAnsi="Arial"/>
          <w:sz w:val="18"/>
          <w:szCs w:val="18"/>
          <w:color w:val="auto"/>
        </w:rPr>
        <w:t>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92" w:lineRule="exact"/>
        <w:rPr>
          <w:sz w:val="20"/>
          <w:szCs w:val="20"/>
          <w:color w:val="auto"/>
        </w:rPr>
      </w:pPr>
    </w:p>
    <w:p>
      <w:pPr>
        <w:jc w:val="both"/>
        <w:ind w:firstLine="644"/>
        <w:spacing w:after="0" w:line="318" w:lineRule="auto"/>
        <w:tabs>
          <w:tab w:leader="none" w:pos="139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for the benefit of all the Lenders and any Issuing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the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(ii) in addition to the matters set forth in clauses (b), and (d) of the preceding proviso and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any Lender may, with the consent of the Required Lenders, enforce any rights and remedies available to it and as authorized by the Required Lenders.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Crediting of Payments and Proceeds.</w:t>
      </w:r>
      <w:r>
        <w:rPr>
          <w:rFonts w:ascii="Arial" w:cs="Arial" w:eastAsia="Arial" w:hAnsi="Arial"/>
          <w:sz w:val="16"/>
          <w:szCs w:val="16"/>
          <w:color w:val="auto"/>
        </w:rPr>
        <w:t xml:space="preserve"> In the event that the Obligations have been accelerated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 by the Administrative Agent as follows: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Secured Obligations constituting fees, indemnities, expenses and other amounts, including attorney fees, payable to the Administrative Agent in its capacity as such, the Issuing Lenders in their capacity as such and the Swingline Lender in its capacity as such, ratably among the Administrative Agent, the Issuing Lenders and the Swingline Lender in proportion to the respective amounts described in this clause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payable to them;</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Secured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Secured Obligations constituting accrued and unpaid interest on the Loans and Reimbursement Obligations, ratably among the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payment of that portion of the Secured Obligations constituting unpaid principal of the Loans, Reimbursement Obligations and payment obligations then owing under Secured Hedge Agreements and Secured Cash Management Agreements, ratably among the Lenders, the Issuing Lenders, the Hedge Banks and the Cash Management Banks in proportion to the respective amounts described in this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payable to them;</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Administrative Agent for the account of the Issuing Lenders, to Cash Collateralize any L/C Obligations then outstanding; and</w:t>
      </w:r>
    </w:p>
    <w:p>
      <w:pPr>
        <w:spacing w:after="0" w:line="2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xml:space="preserve"> the balance, if any, after all of the Secured Obligations have been indefeasibly paid in full, to the Borrower or as otherwise required by Applicable Law.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foregoing, Secured Obligations arising under Secured Cash Management Agreements and Secured Hedge Agreements shall be excluded from the application described above if the Administrative Agent has not received written</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00"/>
          </w:cols>
          <w:pgMar w:left="360" w:top="611" w:right="239" w:bottom="1440" w:gutter="0" w:footer="0" w:header="0"/>
        </w:sectPr>
      </w:pPr>
    </w:p>
    <w:bookmarkStart w:id="156" w:name="page157"/>
    <w:bookmarkEnd w:id="156"/>
    <w:p>
      <w:pPr>
        <w:jc w:val="both"/>
        <w:ind w:left="40" w:right="20"/>
        <w:spacing w:after="0" w:line="259" w:lineRule="auto"/>
        <w:rPr>
          <w:sz w:val="20"/>
          <w:szCs w:val="20"/>
          <w:color w:val="auto"/>
        </w:rPr>
      </w:pPr>
      <w:r>
        <w:rPr>
          <w:rFonts w:ascii="Arial" w:cs="Arial" w:eastAsia="Arial" w:hAnsi="Arial"/>
          <w:sz w:val="18"/>
          <w:szCs w:val="18"/>
          <w:color w:val="auto"/>
        </w:rPr>
        <w:t xml:space="preserve">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for itself and its Affiliates as if a “Lender” party hereto.</w:t>
      </w:r>
    </w:p>
    <w:p>
      <w:pPr>
        <w:spacing w:after="0" w:line="241" w:lineRule="exact"/>
        <w:rPr>
          <w:sz w:val="20"/>
          <w:szCs w:val="20"/>
          <w:color w:val="auto"/>
        </w:rPr>
      </w:pPr>
    </w:p>
    <w:p>
      <w:pPr>
        <w:jc w:val="both"/>
        <w:ind w:left="40" w:firstLine="648"/>
        <w:spacing w:after="0" w:line="27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Administrative Agent May File Proofs of Claim</w:t>
      </w:r>
      <w:r>
        <w:rPr>
          <w:rFonts w:ascii="Arial" w:cs="Arial" w:eastAsia="Arial" w:hAnsi="Arial"/>
          <w:sz w:val="17"/>
          <w:szCs w:val="17"/>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98" w:lineRule="exact"/>
        <w:rPr>
          <w:sz w:val="20"/>
          <w:szCs w:val="20"/>
          <w:color w:val="auto"/>
        </w:rPr>
      </w:pPr>
    </w:p>
    <w:p>
      <w:pPr>
        <w:jc w:val="both"/>
        <w:ind w:firstLine="657"/>
        <w:spacing w:after="0" w:line="325" w:lineRule="auto"/>
        <w:tabs>
          <w:tab w:leader="none" w:pos="140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7"/>
          <w:szCs w:val="17"/>
          <w:u w:val="single" w:color="auto"/>
          <w:color w:val="auto"/>
        </w:rPr>
        <w:t>Sections 3.3, 5.3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allowed in such judicial proceeding; and</w:t>
      </w:r>
    </w:p>
    <w:p>
      <w:pPr>
        <w:spacing w:after="0" w:line="175" w:lineRule="exact"/>
        <w:rPr>
          <w:rFonts w:ascii="Arial" w:cs="Arial" w:eastAsia="Arial" w:hAnsi="Arial"/>
          <w:sz w:val="17"/>
          <w:szCs w:val="17"/>
          <w:color w:val="auto"/>
        </w:rPr>
      </w:pPr>
    </w:p>
    <w:p>
      <w:pPr>
        <w:ind w:left="1440" w:hanging="756"/>
        <w:spacing w:after="0"/>
        <w:tabs>
          <w:tab w:leader="none" w:pos="14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52" w:lineRule="exact"/>
        <w:rPr>
          <w:sz w:val="20"/>
          <w:szCs w:val="20"/>
          <w:color w:val="auto"/>
        </w:rPr>
      </w:pPr>
    </w:p>
    <w:p>
      <w:pPr>
        <w:jc w:val="both"/>
        <w:ind w:left="4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3.3, 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w:t>
      </w:r>
    </w:p>
    <w:p>
      <w:pPr>
        <w:spacing w:after="0" w:line="242" w:lineRule="exact"/>
        <w:rPr>
          <w:sz w:val="20"/>
          <w:szCs w:val="20"/>
          <w:color w:val="auto"/>
        </w:rPr>
      </w:pPr>
    </w:p>
    <w:p>
      <w:pPr>
        <w:ind w:left="680"/>
        <w:spacing w:after="0"/>
        <w:tabs>
          <w:tab w:leader="none" w:pos="19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u w:val="single" w:color="auto"/>
          <w:color w:val="auto"/>
        </w:rPr>
        <w:t>Credit Bidding.</w:t>
      </w:r>
    </w:p>
    <w:p>
      <w:pPr>
        <w:spacing w:after="0" w:line="252" w:lineRule="exact"/>
        <w:rPr>
          <w:sz w:val="20"/>
          <w:szCs w:val="20"/>
          <w:color w:val="auto"/>
        </w:rPr>
      </w:pPr>
    </w:p>
    <w:p>
      <w:pPr>
        <w:jc w:val="both"/>
        <w:ind w:left="40" w:firstLine="644"/>
        <w:spacing w:after="0" w:line="304" w:lineRule="auto"/>
        <w:tabs>
          <w:tab w:leader="none" w:pos="14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Administrative Agent, on behalf of itself and the Lenders, shall have the right to credit bid and purchase for the benefit of the Administrative Agent and the Lenders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w:t>
      </w:r>
    </w:p>
    <w:p>
      <w:pPr>
        <w:spacing w:after="0" w:line="188" w:lineRule="exact"/>
        <w:rPr>
          <w:rFonts w:ascii="Arial" w:cs="Arial" w:eastAsia="Arial" w:hAnsi="Arial"/>
          <w:sz w:val="18"/>
          <w:szCs w:val="18"/>
          <w:color w:val="auto"/>
        </w:rPr>
      </w:pPr>
    </w:p>
    <w:p>
      <w:pPr>
        <w:jc w:val="both"/>
        <w:ind w:left="40" w:firstLine="644"/>
        <w:spacing w:after="0" w:line="364" w:lineRule="auto"/>
        <w:tabs>
          <w:tab w:leader="none" w:pos="143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Each Lender hereby agrees that, except as otherwise provided in any Loan Documents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sales or other similar dispositions of Collateral.</w:t>
      </w:r>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left="680"/>
        <w:spacing w:after="0"/>
        <w:tabs>
          <w:tab w:leader="none" w:pos="19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w:t>
      </w:r>
    </w:p>
    <w:p>
      <w:pPr>
        <w:spacing w:after="0" w:line="252" w:lineRule="exact"/>
        <w:rPr>
          <w:sz w:val="20"/>
          <w:szCs w:val="20"/>
          <w:color w:val="auto"/>
        </w:rPr>
      </w:pPr>
    </w:p>
    <w:p>
      <w:pPr>
        <w:jc w:val="both"/>
        <w:ind w:left="40" w:firstLine="644"/>
        <w:spacing w:after="0" w:line="321" w:lineRule="auto"/>
        <w:tabs>
          <w:tab w:leader="none" w:pos="142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Holdings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320" w:top="584" w:right="239" w:bottom="1440" w:gutter="0" w:footer="0" w:header="0"/>
        </w:sectPr>
      </w:pPr>
    </w:p>
    <w:bookmarkStart w:id="157" w:name="page158"/>
    <w:bookmarkEnd w:id="157"/>
    <w:p>
      <w:pPr>
        <w:ind w:left="40"/>
        <w:spacing w:after="0"/>
        <w:rPr>
          <w:sz w:val="20"/>
          <w:szCs w:val="20"/>
          <w:color w:val="auto"/>
        </w:rPr>
      </w:pPr>
      <w:r>
        <w:rPr>
          <w:rFonts w:ascii="Arial" w:cs="Arial" w:eastAsia="Arial" w:hAnsi="Arial"/>
          <w:sz w:val="18"/>
          <w:szCs w:val="18"/>
          <w:color w:val="auto"/>
        </w:rPr>
        <w:t>contracting parties.</w:t>
      </w:r>
    </w:p>
    <w:p>
      <w:pPr>
        <w:spacing w:after="0" w:line="279" w:lineRule="exact"/>
        <w:rPr>
          <w:sz w:val="20"/>
          <w:szCs w:val="20"/>
          <w:color w:val="auto"/>
        </w:rPr>
      </w:pPr>
    </w:p>
    <w:p>
      <w:pPr>
        <w:jc w:val="both"/>
        <w:ind w:left="40" w:firstLine="644"/>
        <w:spacing w:after="0" w:line="311" w:lineRule="auto"/>
        <w:tabs>
          <w:tab w:leader="none" w:pos="143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Administrative Agent shall also act as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under the Loan Documents, and each of the Lenders (including in its capacity as a potential Hedge Bank or Cash Management Bank) and the Issuing Lenders hereby irrevocably appoints and authorizes the Administrative Agent to act as the agent of such Lender and such Issuing Lender for purposes of</w:t>
      </w:r>
    </w:p>
    <w:p>
      <w:pPr>
        <w:spacing w:after="0" w:line="6" w:lineRule="exact"/>
        <w:rPr>
          <w:sz w:val="20"/>
          <w:szCs w:val="20"/>
          <w:color w:val="auto"/>
        </w:rPr>
      </w:pPr>
    </w:p>
    <w:p>
      <w:pPr>
        <w:jc w:val="both"/>
        <w:ind w:left="40"/>
        <w:spacing w:after="0" w:line="272" w:lineRule="auto"/>
        <w:rPr>
          <w:sz w:val="20"/>
          <w:szCs w:val="20"/>
          <w:color w:val="auto"/>
        </w:rPr>
      </w:pPr>
      <w:r>
        <w:rPr>
          <w:rFonts w:ascii="Arial" w:cs="Arial" w:eastAsia="Arial" w:hAnsi="Arial"/>
          <w:sz w:val="17"/>
          <w:szCs w:val="17"/>
          <w:color w:val="auto"/>
        </w:rPr>
        <w:t xml:space="preserve">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17"/>
          <w:szCs w:val="17"/>
          <w:u w:val="single" w:color="auto"/>
          <w:color w:val="auto"/>
        </w:rPr>
        <w:t>Articles 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as though such co-agents, sub-agents and attorneys-in-fact were the “collateral agent” under the Loan Documents) as if set forth in full herein with respect thereto.</w:t>
      </w:r>
    </w:p>
    <w:p>
      <w:pPr>
        <w:spacing w:after="0" w:line="191" w:lineRule="exact"/>
        <w:rPr>
          <w:sz w:val="20"/>
          <w:szCs w:val="20"/>
          <w:color w:val="auto"/>
        </w:rPr>
      </w:pPr>
    </w:p>
    <w:p>
      <w:pPr>
        <w:jc w:val="both"/>
        <w:ind w:left="40" w:firstLine="648"/>
        <w:spacing w:after="0" w:line="293"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Rights as a Lender.</w:t>
      </w:r>
      <w:r>
        <w:rPr>
          <w:rFonts w:ascii="Arial" w:cs="Arial" w:eastAsia="Arial" w:hAnsi="Arial"/>
          <w:sz w:val="16"/>
          <w:szCs w:val="16"/>
          <w:color w:val="auto"/>
        </w:rPr>
        <w:t xml:space="preserve"> The Person serving as the Administrative Agent hereunder shall have the same rights and powers and same duties and obligations in its capacity as a Lender as any other Lender and may exercise and be subject to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65" w:lineRule="exact"/>
        <w:rPr>
          <w:sz w:val="20"/>
          <w:szCs w:val="20"/>
          <w:color w:val="auto"/>
        </w:rPr>
      </w:pPr>
    </w:p>
    <w:p>
      <w:pPr>
        <w:ind w:left="680"/>
        <w:spacing w:after="0"/>
        <w:tabs>
          <w:tab w:leader="none" w:pos="19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Exculpatory Provisions.</w:t>
      </w:r>
    </w:p>
    <w:p>
      <w:pPr>
        <w:spacing w:after="0" w:line="252" w:lineRule="exact"/>
        <w:rPr>
          <w:sz w:val="20"/>
          <w:szCs w:val="20"/>
          <w:color w:val="auto"/>
        </w:rPr>
      </w:pPr>
    </w:p>
    <w:p>
      <w:pPr>
        <w:jc w:val="both"/>
        <w:ind w:left="40" w:firstLine="644"/>
        <w:spacing w:after="0" w:line="311" w:lineRule="auto"/>
        <w:tabs>
          <w:tab w:leader="none" w:pos="1428"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Administrative Agent shall not have any duties or obligations in its capacity as Administrative Agent except those expressly set forth herein and in the other Loan Documents, and its duties hereunder and thereunder shall be administrative in nature. Without limiting the generality of the foregoing, the Administrative Agent:</w:t>
      </w:r>
    </w:p>
    <w:p>
      <w:pPr>
        <w:spacing w:after="0" w:line="181" w:lineRule="exact"/>
        <w:rPr>
          <w:rFonts w:ascii="Arial" w:cs="Arial" w:eastAsia="Arial" w:hAnsi="Arial"/>
          <w:sz w:val="18"/>
          <w:szCs w:val="18"/>
          <w:color w:val="auto"/>
        </w:rPr>
      </w:pPr>
    </w:p>
    <w:p>
      <w:pPr>
        <w:ind w:left="2040" w:hanging="707"/>
        <w:spacing w:after="0"/>
        <w:tabs>
          <w:tab w:leader="none" w:pos="2040" w:val="left"/>
        </w:tabs>
        <w:numPr>
          <w:ilvl w:val="3"/>
          <w:numId w:val="228"/>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or Event of Default has occurred</w:t>
      </w:r>
    </w:p>
    <w:p>
      <w:pPr>
        <w:spacing w:after="0" w:line="7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and is continuing;</w:t>
      </w:r>
    </w:p>
    <w:p>
      <w:pPr>
        <w:spacing w:after="0" w:line="279" w:lineRule="exact"/>
        <w:rPr>
          <w:rFonts w:ascii="Arial" w:cs="Arial" w:eastAsia="Arial" w:hAnsi="Arial"/>
          <w:sz w:val="16"/>
          <w:szCs w:val="16"/>
          <w:color w:val="auto"/>
        </w:rPr>
      </w:pPr>
    </w:p>
    <w:p>
      <w:pPr>
        <w:jc w:val="both"/>
        <w:ind w:left="680" w:firstLine="653"/>
        <w:spacing w:after="0" w:line="322" w:lineRule="auto"/>
        <w:tabs>
          <w:tab w:leader="none" w:pos="2088" w:val="left"/>
        </w:tabs>
        <w:numPr>
          <w:ilvl w:val="3"/>
          <w:numId w:val="228"/>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9" w:lineRule="exact"/>
        <w:rPr>
          <w:rFonts w:ascii="Arial" w:cs="Arial" w:eastAsia="Arial" w:hAnsi="Arial"/>
          <w:sz w:val="17"/>
          <w:szCs w:val="17"/>
          <w:color w:val="auto"/>
        </w:rPr>
      </w:pPr>
    </w:p>
    <w:p>
      <w:pPr>
        <w:jc w:val="both"/>
        <w:ind w:left="680" w:firstLine="653"/>
        <w:spacing w:after="0" w:line="304" w:lineRule="auto"/>
        <w:tabs>
          <w:tab w:leader="none" w:pos="2138" w:val="left"/>
        </w:tabs>
        <w:numPr>
          <w:ilvl w:val="3"/>
          <w:numId w:val="228"/>
        </w:numPr>
        <w:rPr>
          <w:rFonts w:ascii="Arial" w:cs="Arial" w:eastAsia="Arial" w:hAnsi="Arial"/>
          <w:sz w:val="17"/>
          <w:szCs w:val="17"/>
          <w:color w:val="auto"/>
        </w:rPr>
      </w:pPr>
      <w:r>
        <w:rPr>
          <w:rFonts w:ascii="Arial" w:cs="Arial" w:eastAsia="Arial" w:hAnsi="Arial"/>
          <w:sz w:val="17"/>
          <w:szCs w:val="17"/>
          <w:color w:val="auto"/>
        </w:rPr>
        <w:t>shall not, except as expressly set forth herein and in the other Loan Documents, have any duty to disclose, and shall not be liable for the failure to disclose, any information relating to Holdings, the Borrower or any of their respective Subsidiaries or Affiliates that is communicated to or obtained by the Person serving as the Administrative Agent or any of its Affiliates in any capacity.</w:t>
      </w:r>
    </w:p>
    <w:p>
      <w:pPr>
        <w:ind w:left="1340" w:hanging="656"/>
        <w:spacing w:after="0"/>
        <w:tabs>
          <w:tab w:leader="none" w:pos="134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Administrative Agent shall not be liable for any action taken or not taken by it</w:t>
      </w:r>
    </w:p>
    <w:p>
      <w:pPr>
        <w:spacing w:after="0" w:line="35" w:lineRule="exact"/>
        <w:rPr>
          <w:rFonts w:ascii="Arial" w:cs="Arial" w:eastAsia="Arial" w:hAnsi="Arial"/>
          <w:sz w:val="18"/>
          <w:szCs w:val="18"/>
          <w:color w:val="auto"/>
        </w:rPr>
      </w:pPr>
    </w:p>
    <w:p>
      <w:pPr>
        <w:jc w:val="both"/>
        <w:ind w:left="40" w:hanging="4"/>
        <w:spacing w:after="0" w:line="325" w:lineRule="auto"/>
        <w:tabs>
          <w:tab w:leader="none" w:pos="75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or (ii) in the absence of its own bad faith,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Holdings, the Borrower, a Lender or an Issuing Lender.</w:t>
      </w:r>
    </w:p>
    <w:p>
      <w:pPr>
        <w:spacing w:after="0" w:line="175" w:lineRule="exact"/>
        <w:rPr>
          <w:rFonts w:ascii="Arial" w:cs="Arial" w:eastAsia="Arial" w:hAnsi="Arial"/>
          <w:sz w:val="17"/>
          <w:szCs w:val="17"/>
          <w:color w:val="auto"/>
        </w:rPr>
      </w:pPr>
    </w:p>
    <w:p>
      <w:pPr>
        <w:ind w:right="20" w:firstLine="657"/>
        <w:spacing w:after="0" w:line="324" w:lineRule="auto"/>
        <w:tabs>
          <w:tab w:leader="none" w:pos="140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320" w:top="611" w:right="239" w:bottom="1440" w:gutter="0" w:footer="0" w:header="0"/>
        </w:sectPr>
      </w:pPr>
    </w:p>
    <w:bookmarkStart w:id="158" w:name="page159"/>
    <w:bookmarkEnd w:id="158"/>
    <w:p>
      <w:pPr>
        <w:jc w:val="both"/>
        <w:spacing w:after="0" w:line="302" w:lineRule="auto"/>
        <w:rPr>
          <w:sz w:val="20"/>
          <w:szCs w:val="20"/>
          <w:color w:val="auto"/>
        </w:rPr>
      </w:pPr>
      <w:r>
        <w:rPr>
          <w:rFonts w:ascii="Arial" w:cs="Arial" w:eastAsia="Arial" w:hAnsi="Arial"/>
          <w:sz w:val="18"/>
          <w:szCs w:val="18"/>
          <w:color w:val="auto"/>
        </w:rPr>
        <w:t xml:space="preserve">of any certificate, report or other document delivered hereunder or thereunder or in connection herewith or therewith (including, without limitation, any report provided to it by an Issuing Lender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62" w:lineRule="exact"/>
        <w:rPr>
          <w:sz w:val="20"/>
          <w:szCs w:val="20"/>
          <w:color w:val="auto"/>
        </w:rPr>
      </w:pPr>
    </w:p>
    <w:p>
      <w:pPr>
        <w:jc w:val="both"/>
        <w:ind w:left="40" w:firstLine="648"/>
        <w:spacing w:after="0" w:line="288"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Reliance by the Administrative Agent.</w:t>
      </w:r>
      <w:r>
        <w:rPr>
          <w:rFonts w:ascii="Arial" w:cs="Arial" w:eastAsia="Arial" w:hAnsi="Arial"/>
          <w:sz w:val="16"/>
          <w:szCs w:val="16"/>
          <w:color w:val="auto"/>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Holdings and the Borrower), independent accountants and other experts selected by it, and shall not be liable for any action taken or not taken by it in accordance with the advice of any such counsel, accountants or experts.</w:t>
      </w:r>
    </w:p>
    <w:p>
      <w:pPr>
        <w:spacing w:after="0" w:line="169" w:lineRule="exact"/>
        <w:rPr>
          <w:sz w:val="20"/>
          <w:szCs w:val="20"/>
          <w:color w:val="auto"/>
        </w:rPr>
      </w:pPr>
    </w:p>
    <w:p>
      <w:pPr>
        <w:jc w:val="both"/>
        <w:ind w:left="40" w:firstLine="648"/>
        <w:spacing w:after="0" w:line="291"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bad faith, gross negligence or willful misconduct in the selection of such sub-agents.</w:t>
      </w:r>
    </w:p>
    <w:p>
      <w:pPr>
        <w:spacing w:after="0" w:line="19" w:lineRule="exact"/>
        <w:rPr>
          <w:sz w:val="20"/>
          <w:szCs w:val="20"/>
          <w:color w:val="auto"/>
        </w:rPr>
      </w:pPr>
    </w:p>
    <w:p>
      <w:pPr>
        <w:ind w:left="680"/>
        <w:spacing w:after="0"/>
        <w:tabs>
          <w:tab w:leader="none" w:pos="196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Resignation of Administrative Agent.</w:t>
      </w:r>
    </w:p>
    <w:p>
      <w:pPr>
        <w:spacing w:after="0" w:line="252" w:lineRule="exact"/>
        <w:rPr>
          <w:sz w:val="20"/>
          <w:szCs w:val="20"/>
          <w:color w:val="auto"/>
        </w:rPr>
      </w:pPr>
    </w:p>
    <w:p>
      <w:pPr>
        <w:jc w:val="both"/>
        <w:ind w:left="40" w:firstLine="644"/>
        <w:spacing w:after="0" w:line="301" w:lineRule="auto"/>
        <w:tabs>
          <w:tab w:leader="none" w:pos="142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Issuing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and the Issuing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92" w:lineRule="exact"/>
        <w:rPr>
          <w:sz w:val="20"/>
          <w:szCs w:val="20"/>
          <w:color w:val="auto"/>
        </w:rPr>
      </w:pPr>
    </w:p>
    <w:p>
      <w:pPr>
        <w:jc w:val="both"/>
        <w:ind w:left="40" w:firstLine="644"/>
        <w:spacing w:after="0" w:line="325" w:lineRule="auto"/>
        <w:tabs>
          <w:tab w:leader="none" w:pos="142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6" w:lineRule="exact"/>
        <w:rPr>
          <w:sz w:val="20"/>
          <w:szCs w:val="20"/>
          <w:color w:val="auto"/>
        </w:rPr>
      </w:pPr>
    </w:p>
    <w:p>
      <w:pPr>
        <w:jc w:val="both"/>
        <w:ind w:left="40" w:firstLine="644"/>
        <w:spacing w:after="0" w:line="323" w:lineRule="auto"/>
        <w:tabs>
          <w:tab w:leader="none" w:pos="142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owed to the retiring or removed Administrative Agent, all payments, communications and determinations provided to be made by, to or through the Administrative Agent shall instead be made by or to each Lender and each Issuing Lender</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320" w:top="612" w:right="239" w:bottom="1440" w:gutter="0" w:footer="0" w:header="0"/>
        </w:sectPr>
      </w:pPr>
    </w:p>
    <w:bookmarkStart w:id="159" w:name="page160"/>
    <w:bookmarkEnd w:id="159"/>
    <w:p>
      <w:pPr>
        <w:jc w:val="both"/>
        <w:spacing w:after="0" w:line="320" w:lineRule="auto"/>
        <w:rPr>
          <w:sz w:val="20"/>
          <w:szCs w:val="20"/>
          <w:color w:val="auto"/>
        </w:rPr>
      </w:pPr>
      <w:r>
        <w:rPr>
          <w:rFonts w:ascii="Arial" w:cs="Arial" w:eastAsia="Arial" w:hAnsi="Arial"/>
          <w:sz w:val="17"/>
          <w:szCs w:val="17"/>
          <w:color w:val="auto"/>
        </w:rPr>
        <w:t xml:space="preserve">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0" w:lineRule="exact"/>
        <w:rPr>
          <w:sz w:val="20"/>
          <w:szCs w:val="20"/>
          <w:color w:val="auto"/>
        </w:rPr>
      </w:pPr>
    </w:p>
    <w:p>
      <w:pPr>
        <w:jc w:val="both"/>
        <w:ind w:firstLine="644"/>
        <w:spacing w:after="0" w:line="306" w:lineRule="auto"/>
        <w:tabs>
          <w:tab w:leader="none" w:pos="139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 (b) the retiring Issuing Lender and</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 satisfactory to the retiring Issuing Lender to effectively assume the obligations of the retiring Issuing Lender with respect to such Letters of Credit.</w:t>
      </w:r>
    </w:p>
    <w:p>
      <w:pPr>
        <w:spacing w:after="0" w:line="20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xml:space="preserve">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6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Collateral and Guaranty Matters.</w:t>
      </w:r>
    </w:p>
    <w:p>
      <w:pPr>
        <w:spacing w:after="0" w:line="252" w:lineRule="exact"/>
        <w:rPr>
          <w:sz w:val="20"/>
          <w:szCs w:val="20"/>
          <w:color w:val="auto"/>
        </w:rPr>
      </w:pPr>
    </w:p>
    <w:p>
      <w:pPr>
        <w:ind w:firstLine="644"/>
        <w:spacing w:after="0" w:line="324" w:lineRule="auto"/>
        <w:tabs>
          <w:tab w:leader="none" w:pos="138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of the Lenders (including in its or any of its Affiliate’s capacities as a potential Hedge Bank or Cash Management Bank) irrevocably authorize the Administrative Agent, at its option and in its discretion:</w:t>
      </w:r>
    </w:p>
    <w:p>
      <w:pPr>
        <w:spacing w:after="0" w:line="183" w:lineRule="exact"/>
        <w:rPr>
          <w:rFonts w:ascii="Arial" w:cs="Arial" w:eastAsia="Arial" w:hAnsi="Arial"/>
          <w:sz w:val="18"/>
          <w:szCs w:val="18"/>
          <w:color w:val="auto"/>
        </w:rPr>
      </w:pPr>
    </w:p>
    <w:p>
      <w:pPr>
        <w:jc w:val="both"/>
        <w:ind w:left="640" w:firstLine="653"/>
        <w:spacing w:after="0" w:line="301" w:lineRule="auto"/>
        <w:tabs>
          <w:tab w:leader="none" w:pos="199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obligations and liabilities under Secured Cash Management Agreements or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under the Loan Documents, or (C) if approved, authorized or ratified in writing in accordance with </w:t>
      </w:r>
      <w:r>
        <w:rPr>
          <w:rFonts w:ascii="Arial" w:cs="Arial" w:eastAsia="Arial" w:hAnsi="Arial"/>
          <w:sz w:val="18"/>
          <w:szCs w:val="18"/>
          <w:u w:val="single" w:color="auto"/>
          <w:color w:val="auto"/>
        </w:rPr>
        <w:t>Section 12.2;</w:t>
      </w:r>
    </w:p>
    <w:p>
      <w:pPr>
        <w:spacing w:after="0" w:line="192" w:lineRule="exact"/>
        <w:rPr>
          <w:sz w:val="20"/>
          <w:szCs w:val="20"/>
          <w:color w:val="auto"/>
        </w:rPr>
      </w:pPr>
    </w:p>
    <w:p>
      <w:pPr>
        <w:ind w:left="620" w:firstLine="646"/>
        <w:spacing w:after="0" w:line="324" w:lineRule="auto"/>
        <w:tabs>
          <w:tab w:leader="none" w:pos="204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subordinate any Lien on any Collateral granted to or held by the Administrative Agent under any Loan Document to the holder of any Permitted Lien; and</w:t>
      </w:r>
    </w:p>
    <w:p>
      <w:pPr>
        <w:spacing w:after="0" w:line="183" w:lineRule="exact"/>
        <w:rPr>
          <w:rFonts w:ascii="Arial" w:cs="Arial" w:eastAsia="Arial" w:hAnsi="Arial"/>
          <w:sz w:val="18"/>
          <w:szCs w:val="18"/>
          <w:color w:val="auto"/>
        </w:rPr>
      </w:pPr>
    </w:p>
    <w:p>
      <w:pPr>
        <w:ind w:left="640" w:firstLine="653"/>
        <w:spacing w:after="0" w:line="324" w:lineRule="auto"/>
        <w:tabs>
          <w:tab w:leader="none" w:pos="209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to release any Subsidiary Guarantor from its obligations under any Loan Documents if such Person ceases to be a Subsidiary as a result of a transaction permitted under the Loan Documents.</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00"/>
          </w:cols>
          <w:pgMar w:left="360" w:top="611" w:right="239" w:bottom="1440" w:gutter="0" w:footer="0" w:header="0"/>
        </w:sectPr>
      </w:pPr>
    </w:p>
    <w:bookmarkStart w:id="160" w:name="page161"/>
    <w:bookmarkEnd w:id="160"/>
    <w:p>
      <w:pPr>
        <w:jc w:val="both"/>
        <w:spacing w:after="0" w:line="325" w:lineRule="auto"/>
        <w:rPr>
          <w:sz w:val="20"/>
          <w:szCs w:val="20"/>
          <w:color w:val="auto"/>
        </w:rPr>
      </w:pPr>
      <w:r>
        <w:rPr>
          <w:rFonts w:ascii="Arial" w:cs="Arial" w:eastAsia="Arial" w:hAnsi="Arial"/>
          <w:sz w:val="16"/>
          <w:szCs w:val="16"/>
          <w:color w:val="auto"/>
        </w:rPr>
        <w:t>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Subsidiary Guaranty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Agreement pursuant to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Subsidiary Guaranty Agreement, in each case in accordance with the terms of the Loan Documents and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In the case of any such sale, transfer or disposal of any property constituting Collateral in a transaction constituting an Asset Disposition permitted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the Liens created by any of the Security Documents on such property shall be automatically released without need for further action by any person.</w:t>
      </w:r>
    </w:p>
    <w:p>
      <w:pPr>
        <w:spacing w:after="0" w:line="216" w:lineRule="exact"/>
        <w:rPr>
          <w:sz w:val="20"/>
          <w:szCs w:val="20"/>
          <w:color w:val="auto"/>
        </w:rPr>
      </w:pPr>
    </w:p>
    <w:p>
      <w:pPr>
        <w:jc w:val="both"/>
        <w:ind w:firstLine="644"/>
        <w:spacing w:after="0" w:line="306" w:lineRule="auto"/>
        <w:tabs>
          <w:tab w:leader="none" w:pos="139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Secured Hedge Agreements and Secured Cash Management Agreements</w:t>
      </w:r>
      <w:r>
        <w:rPr>
          <w:rFonts w:ascii="Arial" w:cs="Arial" w:eastAsia="Arial" w:hAnsi="Arial"/>
          <w:sz w:val="16"/>
          <w:szCs w:val="16"/>
          <w:color w:val="auto"/>
        </w:rPr>
        <w:t xml:space="preserve">. No Cash Management Bank or Hedge Bank that obtains the benefits of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Secured Cash Management Agreements and Secured Hedge Agreements unless the Administrative Agent has received written notice of such Secured Cash Management Agreements and Secured Hedge Agreements, together with such supporting documentation as the Administrative Agent may request, from the applicable Cash Management Bank or Hedge Bank, as the case may be.</w:t>
      </w:r>
    </w:p>
    <w:p>
      <w:pPr>
        <w:spacing w:after="0" w:line="26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ARTICLE XII MISCELLANEOUS</w:t>
      </w:r>
    </w:p>
    <w:p>
      <w:pPr>
        <w:spacing w:after="0" w:line="10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Notices.</w:t>
      </w:r>
    </w:p>
    <w:p>
      <w:pPr>
        <w:spacing w:after="0" w:line="252" w:lineRule="exact"/>
        <w:rPr>
          <w:sz w:val="20"/>
          <w:szCs w:val="20"/>
          <w:color w:val="auto"/>
        </w:rPr>
      </w:pPr>
    </w:p>
    <w:p>
      <w:pPr>
        <w:jc w:val="both"/>
        <w:ind w:firstLine="644"/>
        <w:spacing w:after="0" w:line="287" w:lineRule="auto"/>
        <w:tabs>
          <w:tab w:leader="none" w:pos="138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If to the Borrower: ABRH, LLC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3038 Sidco Drive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Nashville, TN 37204</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Attn: Anita Adams, Chief Financial Officer Direct Dial: 615-782-6923</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Fax No.: 615-782-5030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E-mail: anita.adams@abrholdings.com</w:t>
      </w:r>
    </w:p>
    <w:p>
      <w:pPr>
        <w:spacing w:after="0" w:line="27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With a required copy to:</w:t>
      </w: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ABRH, LLC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3038 Sidco Drive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Nashville, TN 37204</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Attn: Goodloe Partee, General Counsel Direct Dial: 615-782-6922</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Fax No.: 615-782-5030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E-mail: Goodloe.partee@abrholdings.com</w:t>
      </w: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360" w:top="585" w:right="239" w:bottom="1440" w:gutter="0" w:footer="0" w:header="0"/>
        </w:sectPr>
      </w:pPr>
    </w:p>
    <w:bookmarkStart w:id="161" w:name="page162"/>
    <w:bookmarkEnd w:id="161"/>
    <w:p>
      <w:pPr>
        <w:ind w:left="2584"/>
        <w:spacing w:after="0"/>
        <w:rPr>
          <w:sz w:val="20"/>
          <w:szCs w:val="20"/>
          <w:color w:val="auto"/>
        </w:rPr>
      </w:pPr>
      <w:r>
        <w:rPr>
          <w:rFonts w:ascii="Arial" w:cs="Arial" w:eastAsia="Arial" w:hAnsi="Arial"/>
          <w:sz w:val="18"/>
          <w:szCs w:val="18"/>
          <w:color w:val="auto"/>
        </w:rPr>
        <w:t>If to Wells Fargo as Administrative Agent:</w:t>
      </w:r>
    </w:p>
    <w:p>
      <w:pPr>
        <w:spacing w:after="0" w:line="22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Wells Fargo Bank, National Association MAC D1109-019</w:t>
      </w:r>
    </w:p>
    <w:p>
      <w:pPr>
        <w:spacing w:after="0" w:line="23"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1525 West W.T. Harris Blvd. Charlotte, NC 28262</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Attention of: Syndication Agency Services Telephone No.: (704) 590-2703</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Facsimile No.: (704) 715-0092</w:t>
      </w:r>
    </w:p>
    <w:p>
      <w:pPr>
        <w:spacing w:after="0" w:line="211"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Wells Fargo Bank, National Association 1808 Aston Avenue, Suite 250</w:t>
      </w:r>
    </w:p>
    <w:p>
      <w:pPr>
        <w:spacing w:after="0" w:line="23"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Carlsbad, CA 92008 Attention of: Jacob Norton</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Telephone No.: (760) 918-2716</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Facsimile No.: (760) 918 2727</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Jacob.Norton@wellsfargo.com</w:t>
      </w:r>
    </w:p>
    <w:p>
      <w:pPr>
        <w:spacing w:after="0" w:line="26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If to any Lender:</w:t>
      </w:r>
    </w:p>
    <w:p>
      <w:pPr>
        <w:spacing w:after="0" w:line="22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To the address set forth on the Register</w:t>
      </w:r>
    </w:p>
    <w:p>
      <w:pPr>
        <w:spacing w:after="0" w:line="225"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214" w:lineRule="exact"/>
        <w:rPr>
          <w:sz w:val="20"/>
          <w:szCs w:val="20"/>
          <w:color w:val="auto"/>
        </w:rPr>
      </w:pPr>
    </w:p>
    <w:p>
      <w:pPr>
        <w:jc w:val="both"/>
        <w:ind w:left="4" w:firstLine="644"/>
        <w:spacing w:after="0" w:line="304" w:lineRule="auto"/>
        <w:tabs>
          <w:tab w:leader="none" w:pos="140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such Issuing Lender, as applicable, has notified the Administrative Agent that is incapable of receiving notices under such Article by electronic communication. The Administrative Agent or the</w:t>
      </w:r>
    </w:p>
    <w:p>
      <w:pPr>
        <w:spacing w:after="0" w:line="229"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 xml:space="preserve">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w:t>
      </w:r>
    </w:p>
    <w:p>
      <w:pPr>
        <w:spacing w:after="0" w:line="4" w:lineRule="exact"/>
        <w:rPr>
          <w:sz w:val="20"/>
          <w:szCs w:val="20"/>
          <w:color w:val="auto"/>
        </w:rPr>
      </w:pPr>
    </w:p>
    <w:p>
      <w:pPr>
        <w:jc w:val="both"/>
        <w:ind w:left="4" w:hanging="4"/>
        <w:spacing w:after="0" w:line="334" w:lineRule="auto"/>
        <w:tabs>
          <w:tab w:leader="none" w:pos="76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 (i) and (ii) above, if such notice, email or other communication is not sent during the normal business hours of the</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recipient, such notice, email or other communication shall be</w:t>
      </w:r>
    </w:p>
    <w:p>
      <w:pPr>
        <w:spacing w:after="0" w:line="2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deemed to have been sent at the opening of business on the next business day for the recipient.</w:t>
      </w:r>
    </w:p>
    <w:p>
      <w:pPr>
        <w:spacing w:after="0" w:line="251" w:lineRule="exact"/>
        <w:rPr>
          <w:rFonts w:ascii="Arial" w:cs="Arial" w:eastAsia="Arial" w:hAnsi="Arial"/>
          <w:sz w:val="16"/>
          <w:szCs w:val="16"/>
          <w:color w:val="auto"/>
        </w:rPr>
      </w:pPr>
    </w:p>
    <w:p>
      <w:pPr>
        <w:jc w:val="both"/>
        <w:ind w:left="4" w:firstLine="644"/>
        <w:spacing w:after="0" w:line="336" w:lineRule="auto"/>
        <w:tabs>
          <w:tab w:leader="none" w:pos="1392"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spacing w:after="0" w:line="164" w:lineRule="exact"/>
        <w:rPr>
          <w:rFonts w:ascii="Arial" w:cs="Arial" w:eastAsia="Arial" w:hAnsi="Arial"/>
          <w:sz w:val="17"/>
          <w:szCs w:val="17"/>
          <w:color w:val="auto"/>
        </w:rPr>
      </w:pPr>
    </w:p>
    <w:p>
      <w:pPr>
        <w:ind w:left="4" w:firstLine="644"/>
        <w:spacing w:after="0" w:line="324" w:lineRule="auto"/>
        <w:tabs>
          <w:tab w:leader="none" w:pos="1402"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Any party hereto may change its address or facsimile number for notices and other communications hereunder by notice to the other parties hereto.</w:t>
      </w:r>
    </w:p>
    <w:p>
      <w:pPr>
        <w:spacing w:after="0" w:line="156" w:lineRule="exact"/>
        <w:rPr>
          <w:rFonts w:ascii="Arial" w:cs="Arial" w:eastAsia="Arial" w:hAnsi="Arial"/>
          <w:sz w:val="18"/>
          <w:szCs w:val="18"/>
          <w:color w:val="auto"/>
        </w:rPr>
      </w:pPr>
    </w:p>
    <w:p>
      <w:pPr>
        <w:ind w:left="1304" w:hanging="656"/>
        <w:spacing w:after="0"/>
        <w:tabs>
          <w:tab w:leader="none" w:pos="1304"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5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04"/>
          </w:cols>
          <w:pgMar w:left="356" w:top="584" w:right="239" w:bottom="1440" w:gutter="0" w:footer="0" w:header="0"/>
        </w:sectPr>
      </w:pPr>
    </w:p>
    <w:bookmarkStart w:id="162" w:name="page163"/>
    <w:bookmarkEnd w:id="162"/>
    <w:p>
      <w:pPr>
        <w:jc w:val="both"/>
        <w:ind w:left="640" w:firstLine="653"/>
        <w:spacing w:after="0" w:line="311" w:lineRule="auto"/>
        <w:tabs>
          <w:tab w:leader="none" w:pos="199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Each Credit Party agrees that the Administrative Agent may, but shall not be obligated to, make the Borrower Materials available to the Issuing Lenders and the other Lenders by posting the Borrower Materials on the Platform, subject to the confidentiality provisions of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181" w:lineRule="exact"/>
        <w:rPr>
          <w:sz w:val="20"/>
          <w:szCs w:val="20"/>
          <w:color w:val="auto"/>
        </w:rPr>
      </w:pPr>
    </w:p>
    <w:p>
      <w:pPr>
        <w:jc w:val="both"/>
        <w:ind w:left="620" w:firstLine="646"/>
        <w:spacing w:after="0" w:line="318" w:lineRule="auto"/>
        <w:tabs>
          <w:tab w:leader="none" w:pos="2042"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have any liability to any Credit Party, any Lender, any Issuing Lender or any other Person for indirect, special, incidental, consequential or punitive damages, losses or expenses (as opposed to actual damages, losses or expenses).</w:t>
      </w:r>
    </w:p>
    <w:p>
      <w:pPr>
        <w:spacing w:after="0" w:line="187" w:lineRule="exact"/>
        <w:rPr>
          <w:rFonts w:ascii="Arial" w:cs="Arial" w:eastAsia="Arial" w:hAnsi="Arial"/>
          <w:sz w:val="17"/>
          <w:szCs w:val="17"/>
          <w:color w:val="auto"/>
        </w:rPr>
      </w:pPr>
    </w:p>
    <w:p>
      <w:pPr>
        <w:jc w:val="both"/>
        <w:ind w:firstLine="644"/>
        <w:spacing w:after="0" w:line="311" w:lineRule="auto"/>
        <w:tabs>
          <w:tab w:leader="none" w:pos="1368"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Private Side Designation.</w:t>
      </w:r>
      <w:r>
        <w:rPr>
          <w:rFonts w:ascii="Arial" w:cs="Arial" w:eastAsia="Arial" w:hAnsi="Arial"/>
          <w:sz w:val="18"/>
          <w:szCs w:val="18"/>
          <w:color w:val="auto"/>
        </w:rPr>
        <w:t xml:space="preserve"> Each Public Lender agrees to cause at least one individual at or on behalf of such Public Lender to at all times have selected the “Private Side Information” or similar designation on the content declaration screen of the Platform in order to enable such Public Lender or its</w:t>
      </w:r>
    </w:p>
    <w:p>
      <w:pPr>
        <w:spacing w:after="0" w:line="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Applicable Laws.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waiver or consent shall:</w:t>
      </w:r>
    </w:p>
    <w:p>
      <w:pPr>
        <w:spacing w:after="0" w:line="215" w:lineRule="exact"/>
        <w:rPr>
          <w:sz w:val="20"/>
          <w:szCs w:val="20"/>
          <w:color w:val="auto"/>
        </w:rPr>
      </w:pPr>
    </w:p>
    <w:p>
      <w:pPr>
        <w:jc w:val="both"/>
        <w:ind w:firstLine="644"/>
        <w:spacing w:after="0" w:line="304" w:lineRule="auto"/>
        <w:tabs>
          <w:tab w:leader="none" w:pos="138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Revolving Credit Lenders, amend, modify or waive (i)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any substantially concurrent request by the Borrower for the borrowing of Revolving Credit Loans) to make Revolving Credit Loans when such Revolving Credit Lenders would not otherwise be required to do so, (ii) the amount of the Swingline Commitment or (iii) the amount of the L/C Sublimit;</w:t>
      </w:r>
    </w:p>
    <w:p>
      <w:pPr>
        <w:spacing w:after="0" w:line="188" w:lineRule="exact"/>
        <w:rPr>
          <w:rFonts w:ascii="Arial" w:cs="Arial" w:eastAsia="Arial" w:hAnsi="Arial"/>
          <w:sz w:val="18"/>
          <w:szCs w:val="18"/>
          <w:color w:val="auto"/>
        </w:rPr>
      </w:pPr>
    </w:p>
    <w:p>
      <w:pPr>
        <w:ind w:firstLine="644"/>
        <w:spacing w:after="0" w:line="324" w:lineRule="auto"/>
        <w:tabs>
          <w:tab w:leader="none" w:pos="139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increase the Commitment of any Lender (or reinstate any Commitment terminated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amount of Loans of any Lender, in any case, without the written consent of such Lender;</w:t>
      </w:r>
    </w:p>
    <w:p>
      <w:pPr>
        <w:spacing w:after="0" w:line="170" w:lineRule="exact"/>
        <w:rPr>
          <w:rFonts w:ascii="Arial" w:cs="Arial" w:eastAsia="Arial" w:hAnsi="Arial"/>
          <w:sz w:val="18"/>
          <w:szCs w:val="18"/>
          <w:color w:val="auto"/>
        </w:rPr>
      </w:pPr>
    </w:p>
    <w:p>
      <w:pPr>
        <w:jc w:val="both"/>
        <w:ind w:firstLine="644"/>
        <w:spacing w:after="0" w:line="364" w:lineRule="auto"/>
        <w:tabs>
          <w:tab w:leader="none" w:pos="138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waive, extend or postpone any date fixed by this Agreement or any other Loan Document for any payment of principal, interest, fees or other amounts due to the Lenders (or any of them) hereunder or under any other Loan Document without the written consent of each Lender directly and adversely affected thereby (provided, however, that waivers of mandatory prepayments shall be permitted with Required Lender approval);</w:t>
      </w:r>
    </w:p>
    <w:p>
      <w:pPr>
        <w:spacing w:after="0" w:line="148" w:lineRule="exact"/>
        <w:rPr>
          <w:rFonts w:ascii="Arial" w:cs="Arial" w:eastAsia="Arial" w:hAnsi="Arial"/>
          <w:sz w:val="16"/>
          <w:szCs w:val="16"/>
          <w:color w:val="auto"/>
        </w:rPr>
      </w:pPr>
    </w:p>
    <w:p>
      <w:pPr>
        <w:jc w:val="both"/>
        <w:ind w:firstLine="644"/>
        <w:spacing w:after="0" w:line="302" w:lineRule="auto"/>
        <w:tabs>
          <w:tab w:leader="none" w:pos="139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waive any obligation of the Borrower to pay interest at the rate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ectPr>
          <w:pgSz w:w="11900" w:h="16838" w:orient="portrait"/>
          <w:cols w:equalWidth="0" w:num="1">
            <w:col w:w="11300"/>
          </w:cols>
          <w:pgMar w:left="360" w:top="828"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00"/>
          </w:cols>
          <w:pgMar w:left="360" w:top="828" w:right="239" w:bottom="1440" w:gutter="0" w:footer="0" w:header="0"/>
          <w:type w:val="continuous"/>
        </w:sectPr>
      </w:pPr>
    </w:p>
    <w:bookmarkStart w:id="163" w:name="page164"/>
    <w:bookmarkEnd w:id="163"/>
    <w:p>
      <w:pPr>
        <w:ind w:firstLine="644"/>
        <w:spacing w:after="0" w:line="324" w:lineRule="auto"/>
        <w:tabs>
          <w:tab w:leader="none" w:pos="138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in a manner that would alter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sharing of payments or order of application required thereby without the written consent of each Lender directly and adversely affected thereby;</w:t>
      </w:r>
    </w:p>
    <w:p>
      <w:pPr>
        <w:spacing w:after="0" w:line="170" w:lineRule="exact"/>
        <w:rPr>
          <w:rFonts w:ascii="Arial" w:cs="Arial" w:eastAsia="Arial" w:hAnsi="Arial"/>
          <w:sz w:val="18"/>
          <w:szCs w:val="18"/>
          <w:color w:val="auto"/>
        </w:rPr>
      </w:pPr>
    </w:p>
    <w:p>
      <w:pPr>
        <w:ind w:firstLine="644"/>
        <w:spacing w:after="0" w:line="295" w:lineRule="auto"/>
        <w:tabs>
          <w:tab w:leader="none" w:pos="136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change Section 4.5(b)(v) in a manner that would alter the order of application of amounts prepaid pursuant thereto without the written consent of each Lender directly and adversely affected thereby;</w:t>
      </w:r>
    </w:p>
    <w:p>
      <w:pPr>
        <w:jc w:val="both"/>
        <w:ind w:firstLine="644"/>
        <w:spacing w:after="0" w:line="308" w:lineRule="auto"/>
        <w:tabs>
          <w:tab w:leader="none" w:pos="139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except as otherwise permitted by this </w:t>
      </w:r>
      <w:r>
        <w:rPr>
          <w:rFonts w:ascii="Arial" w:cs="Arial" w:eastAsia="Arial" w:hAnsi="Arial"/>
          <w:sz w:val="18"/>
          <w:szCs w:val="18"/>
          <w:u w:val="single" w:color="auto"/>
          <w:color w:val="auto"/>
        </w:rPr>
        <w:t>Section 12.2</w:t>
      </w:r>
      <w:r>
        <w:rPr>
          <w:rFonts w:ascii="Arial" w:cs="Arial" w:eastAsia="Arial" w:hAnsi="Arial"/>
          <w:sz w:val="18"/>
          <w:szCs w:val="18"/>
          <w:b w:val="1"/>
          <w:bCs w:val="1"/>
          <w:color w:val="auto"/>
        </w:rPr>
        <w:t>,</w:t>
      </w:r>
      <w:r>
        <w:rPr>
          <w:rFonts w:ascii="Arial" w:cs="Arial" w:eastAsia="Arial" w:hAnsi="Arial"/>
          <w:sz w:val="18"/>
          <w:szCs w:val="18"/>
          <w:color w:val="auto"/>
        </w:rPr>
        <w:t xml:space="preserve"> change any provision of this Section or reduce the percentages specified in the definitions of “Required Lenders,” or “Required Revolving Credit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83" w:lineRule="exact"/>
        <w:rPr>
          <w:rFonts w:ascii="Arial" w:cs="Arial" w:eastAsia="Arial" w:hAnsi="Arial"/>
          <w:sz w:val="18"/>
          <w:szCs w:val="18"/>
          <w:color w:val="auto"/>
        </w:rPr>
      </w:pPr>
    </w:p>
    <w:p>
      <w:pPr>
        <w:ind w:right="20" w:firstLine="644"/>
        <w:spacing w:after="0" w:line="324" w:lineRule="auto"/>
        <w:tabs>
          <w:tab w:leader="none" w:pos="139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170" w:lineRule="exact"/>
        <w:rPr>
          <w:rFonts w:ascii="Arial" w:cs="Arial" w:eastAsia="Arial" w:hAnsi="Arial"/>
          <w:sz w:val="18"/>
          <w:szCs w:val="18"/>
          <w:color w:val="auto"/>
        </w:rPr>
      </w:pPr>
    </w:p>
    <w:p>
      <w:pPr>
        <w:jc w:val="both"/>
        <w:ind w:firstLine="644"/>
        <w:spacing w:after="0" w:line="311" w:lineRule="auto"/>
        <w:tabs>
          <w:tab w:leader="none" w:pos="135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release (i) Holdings, (ii) all of the Subsidiary Guarantors or (iii) Subsidiary Guarantors comprising substantially all of the credit support for the Secured Obligations, in any case, from any Guaranty Agreement (other than as authorized in </w:t>
      </w:r>
      <w:r>
        <w:rPr>
          <w:rFonts w:ascii="Arial" w:cs="Arial" w:eastAsia="Arial" w:hAnsi="Arial"/>
          <w:sz w:val="18"/>
          <w:szCs w:val="18"/>
          <w:u w:val="single" w:color="auto"/>
          <w:color w:val="auto"/>
        </w:rPr>
        <w:t>Section 11.9)</w:t>
      </w:r>
      <w:r>
        <w:rPr>
          <w:rFonts w:ascii="Arial" w:cs="Arial" w:eastAsia="Arial" w:hAnsi="Arial"/>
          <w:sz w:val="18"/>
          <w:szCs w:val="18"/>
          <w:color w:val="auto"/>
        </w:rPr>
        <w:t>, without the written consent of each Lender; or</w:t>
      </w:r>
    </w:p>
    <w:p>
      <w:pPr>
        <w:spacing w:after="0" w:line="181" w:lineRule="exact"/>
        <w:rPr>
          <w:rFonts w:ascii="Arial" w:cs="Arial" w:eastAsia="Arial" w:hAnsi="Arial"/>
          <w:sz w:val="18"/>
          <w:szCs w:val="18"/>
          <w:color w:val="auto"/>
        </w:rPr>
      </w:pPr>
    </w:p>
    <w:p>
      <w:pPr>
        <w:ind w:firstLine="644"/>
        <w:spacing w:after="0" w:line="357" w:lineRule="auto"/>
        <w:tabs>
          <w:tab w:leader="none" w:pos="135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release all or substantially all of the Collateral or release any Security Document (other than as authorized in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or as otherwise specifically permitted or contemplated in this Agreement or the applicable Security Document) without the written consent of each Lender;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Fee Letter may be amended, or rights or privileges thereunder waived, in a writing executed only by the parties thereto, (v) each Letter of Credit Application may be amended, or rights or privileges thereunder waived, in a writing executed only by the parties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copy of such amended Letter of Credit Application shall be promptly delivered to the Administrative Agent upon such amendment or waiver, and (vi)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or omission of a technical or immaterial nature in any such provision. Notwithstanding anything to the contrary herein, no Defaulting Lender shall have any right to approve or disapprove any amendment, waiver or consent hereunder, except that the Revolving Credit Commitment of such Lender may not be increased or extended without the consent of such Lender.</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or any of the other Loan Documents or to enter into additional Loan Documents as the Administrative Agent reasonably deems appropriate in order to effectuate the terms of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(including, without limitation, as applicable, (1) to permit the Incremental Term Loans and the Incremental Revolving Credit Increases to share ratably in the benefits of this Agreement and the other Loan Documents and (2) to include the Incremental Term Loan Commitments and the Incremental Revolving Credit Increase, as applicable, or outstanding Incremental Term Loans and outstanding Incremental Revolving Credit Increase, as applicable, in any determination of (i) Required Lenders or Required Revolving Credit Lenders, as applicable or (ii) similar required lender terms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 or modification shall result in any increase in the amount of any Lender’s Commitment or any increase in any Lender’s Commitment Percentage, in each case, without the written consent of such affected Lender.</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252" w:lineRule="exact"/>
        <w:rPr>
          <w:sz w:val="20"/>
          <w:szCs w:val="20"/>
          <w:color w:val="auto"/>
        </w:rPr>
      </w:pPr>
    </w:p>
    <w:p>
      <w:pPr>
        <w:jc w:val="both"/>
        <w:ind w:firstLine="644"/>
        <w:spacing w:after="0" w:line="306" w:lineRule="auto"/>
        <w:tabs>
          <w:tab w:leader="none" w:pos="138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and any other Credit Party, jointly and severally, shall pay (i) all reasonable out of pocket expenses incurred by the Administrative Agent and its Affiliates (including the reasonable out-of-pocket fees, charges and disbursements of external counsel for the Administrative Agent) in connection with the syndication of the Credit Facility, the preparation, negotiation, execution, delivery and administration of this Agreement and the other Loan Documents</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00"/>
          </w:cols>
          <w:pgMar w:left="360" w:top="612" w:right="239" w:bottom="1440" w:gutter="0" w:footer="0" w:header="0"/>
        </w:sectPr>
      </w:pPr>
    </w:p>
    <w:bookmarkStart w:id="164" w:name="page165"/>
    <w:bookmarkEnd w:id="164"/>
    <w:p>
      <w:pPr>
        <w:jc w:val="both"/>
        <w:spacing w:after="0" w:line="322" w:lineRule="auto"/>
        <w:rPr>
          <w:sz w:val="20"/>
          <w:szCs w:val="20"/>
          <w:color w:val="auto"/>
        </w:rPr>
      </w:pPr>
      <w:r>
        <w:rPr>
          <w:rFonts w:ascii="Arial" w:cs="Arial" w:eastAsia="Arial" w:hAnsi="Arial"/>
          <w:sz w:val="17"/>
          <w:szCs w:val="17"/>
          <w:color w:val="auto"/>
        </w:rPr>
        <w:t>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reasonable out of pocket expenses incurred by the Administrative Agent, any Lender or any Issuing Lender (including the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76" w:lineRule="exact"/>
        <w:rPr>
          <w:sz w:val="20"/>
          <w:szCs w:val="20"/>
          <w:color w:val="auto"/>
        </w:rPr>
      </w:pPr>
    </w:p>
    <w:p>
      <w:pPr>
        <w:jc w:val="both"/>
        <w:ind w:firstLine="644"/>
        <w:spacing w:after="0" w:line="337" w:lineRule="auto"/>
        <w:tabs>
          <w:tab w:leader="none" w:pos="1398"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(and any sub-agent thereof), each Lender and each Issuing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and shall pay or reimburse any such Indemnitee for, any and all losses, claims (including, without limitation, any Environmental Claims), penalties, damages, liabilities and related expenses (including the out-of-pocket fees, charges and disbursements of any external counsel for any Indemnitee), incurred by any Indemnitee or asserted against any Indemnitee by any Person (including the Borrower or any other Credit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Arial" w:cs="Arial" w:eastAsia="Arial" w:hAnsi="Arial"/>
          <w:sz w:val="16"/>
          <w:szCs w:val="16"/>
          <w:u w:val="single" w:color="auto"/>
          <w:color w:val="auto"/>
        </w:rPr>
        <w:t>Section 12.3(b)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jc w:val="both"/>
        <w:ind w:firstLine="644"/>
        <w:spacing w:after="0" w:line="339" w:lineRule="auto"/>
        <w:tabs>
          <w:tab w:leader="none" w:pos="1388"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clause (a) or (b) of this Section to be paid by it to the Administrative Agent (or any sub-agent thereof), any Issuing Lender, the Swingline Lender or any Related Party of any of the foregoing, each Lender severally agrees to pay to the Administrative Agent (or any such sub-agent), such Issuing Lender, the Swingline Lender or such Related Party, as the case may be,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The obligations of the Lenders under this clause (c) are subject to the provisions of </w:t>
      </w:r>
      <w:r>
        <w:rPr>
          <w:rFonts w:ascii="Arial" w:cs="Arial" w:eastAsia="Arial" w:hAnsi="Arial"/>
          <w:sz w:val="16"/>
          <w:szCs w:val="16"/>
          <w:u w:val="single" w:color="auto"/>
          <w:color w:val="auto"/>
        </w:rPr>
        <w:t>Section 5.7.</w:t>
      </w:r>
    </w:p>
    <w:p>
      <w:pPr>
        <w:spacing w:after="0" w:line="170" w:lineRule="exact"/>
        <w:rPr>
          <w:rFonts w:ascii="Arial" w:cs="Arial" w:eastAsia="Arial" w:hAnsi="Arial"/>
          <w:sz w:val="16"/>
          <w:szCs w:val="16"/>
          <w:color w:val="auto"/>
        </w:rPr>
      </w:pPr>
    </w:p>
    <w:p>
      <w:pPr>
        <w:ind w:left="1400" w:hanging="756"/>
        <w:spacing w:after="0"/>
        <w:tabs>
          <w:tab w:leader="none" w:pos="140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the Borrower and</w:t>
      </w: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00"/>
          </w:cols>
          <w:pgMar w:left="360" w:top="611" w:right="239" w:bottom="1440" w:gutter="0" w:footer="0" w:header="0"/>
        </w:sectPr>
      </w:pPr>
    </w:p>
    <w:bookmarkStart w:id="165" w:name="page166"/>
    <w:bookmarkEnd w:id="165"/>
    <w:p>
      <w:pPr>
        <w:jc w:val="both"/>
        <w:spacing w:after="0" w:line="323" w:lineRule="auto"/>
        <w:rPr>
          <w:sz w:val="20"/>
          <w:szCs w:val="20"/>
          <w:color w:val="auto"/>
        </w:rPr>
      </w:pPr>
      <w:r>
        <w:rPr>
          <w:rFonts w:ascii="Arial" w:cs="Arial" w:eastAsia="Arial" w:hAnsi="Arial"/>
          <w:sz w:val="17"/>
          <w:szCs w:val="17"/>
          <w:color w:val="auto"/>
        </w:rPr>
        <w:t>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7" w:lineRule="exact"/>
        <w:rPr>
          <w:sz w:val="20"/>
          <w:szCs w:val="20"/>
          <w:color w:val="auto"/>
        </w:rPr>
      </w:pPr>
    </w:p>
    <w:p>
      <w:pPr>
        <w:ind w:left="1380" w:hanging="736"/>
        <w:spacing w:after="0"/>
        <w:tabs>
          <w:tab w:leader="none" w:pos="138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Section shall be payable promptly after demand therefor.</w:t>
      </w:r>
    </w:p>
    <w:p>
      <w:pPr>
        <w:spacing w:after="0" w:line="279" w:lineRule="exact"/>
        <w:rPr>
          <w:rFonts w:ascii="Arial" w:cs="Arial" w:eastAsia="Arial" w:hAnsi="Arial"/>
          <w:sz w:val="18"/>
          <w:szCs w:val="18"/>
          <w:color w:val="auto"/>
        </w:rPr>
      </w:pPr>
    </w:p>
    <w:p>
      <w:pPr>
        <w:ind w:left="1360" w:hanging="716"/>
        <w:spacing w:after="0"/>
        <w:tabs>
          <w:tab w:leader="none" w:pos="1360"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Each party’s obligations under this Section shall survive the termination of the Loan Documents and payment of the obligations</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each Issuing Lender, the Swingline Lender and each of their respective Affiliates is hereby authorized at any time and from time to time, after obtaining the prior written consent of the Administrative Agent, to the fullest extent permitted by Applicable Law, to set off and apply any and all</w:t>
      </w:r>
    </w:p>
    <w:p>
      <w:pPr>
        <w:spacing w:after="0" w:line="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the Issuing Lenders, the Swingline Lender and the Lenders, and (y) the Defaulting Lender shall provide promptly to the Administrative Agent a statement describing in reasonable detail the Obligations owing to such Defaulting Lender as to which it exercised such right of setoff.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Governing Law; Jurisdiction, Etc.</w:t>
      </w:r>
    </w:p>
    <w:p>
      <w:pPr>
        <w:spacing w:after="0" w:line="252" w:lineRule="exact"/>
        <w:rPr>
          <w:sz w:val="20"/>
          <w:szCs w:val="20"/>
          <w:color w:val="auto"/>
        </w:rPr>
      </w:pPr>
    </w:p>
    <w:p>
      <w:pPr>
        <w:jc w:val="both"/>
        <w:ind w:firstLine="644"/>
        <w:spacing w:after="0" w:line="306" w:lineRule="auto"/>
        <w:tabs>
          <w:tab w:leader="none" w:pos="1388"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6" w:lineRule="exact"/>
        <w:rPr>
          <w:rFonts w:ascii="Arial" w:cs="Arial" w:eastAsia="Arial" w:hAnsi="Arial"/>
          <w:sz w:val="18"/>
          <w:szCs w:val="18"/>
          <w:color w:val="auto"/>
        </w:rPr>
      </w:pPr>
    </w:p>
    <w:p>
      <w:pPr>
        <w:jc w:val="both"/>
        <w:ind w:firstLine="644"/>
        <w:spacing w:after="0" w:line="340" w:lineRule="auto"/>
        <w:tabs>
          <w:tab w:leader="none" w:pos="1398"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The Borrower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the Borrower or any other Credit Party or its properties in the courts of any jurisdiction.</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00"/>
          </w:cols>
          <w:pgMar w:left="360" w:top="612" w:right="239" w:bottom="1440" w:gutter="0" w:footer="0" w:header="0"/>
        </w:sectPr>
      </w:pPr>
    </w:p>
    <w:bookmarkStart w:id="166" w:name="page167"/>
    <w:bookmarkEnd w:id="166"/>
    <w:p>
      <w:pPr>
        <w:jc w:val="both"/>
        <w:ind w:firstLine="644"/>
        <w:spacing w:after="0" w:line="354" w:lineRule="auto"/>
        <w:tabs>
          <w:tab w:leader="none" w:pos="1388"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Waiver of Venue.</w:t>
      </w:r>
      <w:r>
        <w:rPr>
          <w:rFonts w:ascii="Arial" w:cs="Arial" w:eastAsia="Arial" w:hAnsi="Arial"/>
          <w:sz w:val="16"/>
          <w:szCs w:val="16"/>
          <w:color w:val="auto"/>
        </w:rPr>
        <w:t xml:space="preserve"> The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0" w:lineRule="exact"/>
        <w:rPr>
          <w:rFonts w:ascii="Arial" w:cs="Arial" w:eastAsia="Arial" w:hAnsi="Arial"/>
          <w:sz w:val="16"/>
          <w:szCs w:val="16"/>
          <w:color w:val="auto"/>
        </w:rPr>
      </w:pPr>
    </w:p>
    <w:p>
      <w:pPr>
        <w:ind w:firstLine="644"/>
        <w:spacing w:after="0" w:line="357" w:lineRule="auto"/>
        <w:tabs>
          <w:tab w:leader="none" w:pos="1398"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hereto irrevocably consents to service of process in the manner provided for notices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Nothing in this Agreement will affect the right of any party hereto to serve process in any other manner permitted by Applicable Law.</w:t>
      </w:r>
    </w:p>
    <w:p>
      <w:pPr>
        <w:spacing w:after="0" w:line="13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Waiver of Jury Trial.</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CONSENT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12.7 </w:t>
      </w:r>
      <w:r>
        <w:rPr>
          <w:rFonts w:ascii="Arial" w:cs="Arial" w:eastAsia="Arial" w:hAnsi="Arial"/>
          <w:sz w:val="16"/>
          <w:szCs w:val="16"/>
          <w:u w:val="single" w:color="auto"/>
          <w:color w:val="auto"/>
        </w:rPr>
        <w:t>Reversal of Payments.</w:t>
      </w:r>
      <w:r>
        <w:rPr>
          <w:rFonts w:ascii="Arial" w:cs="Arial" w:eastAsia="Arial" w:hAnsi="Arial"/>
          <w:sz w:val="16"/>
          <w:szCs w:val="16"/>
          <w:color w:val="auto"/>
        </w:rPr>
        <w:t xml:space="preserve"> To the extent any Credit Party makes a payment or payments to the Administrative Agent for the ratable benefit of the Lenders or the Administrative Agent receives any payment or proceeds of the Collateral which payments or proceeds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Obligations or part thereof intended to be satisfied shall be revived and continued in full force and effect as if such payment or proceeds had not been received by the Administrative Agent.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w:t>
      </w:r>
    </w:p>
    <w:p>
      <w:pPr>
        <w:spacing w:after="0" w:line="18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Successors and Assigns; Participations.</w:t>
      </w:r>
    </w:p>
    <w:p>
      <w:pPr>
        <w:spacing w:after="0" w:line="252" w:lineRule="exact"/>
        <w:rPr>
          <w:sz w:val="20"/>
          <w:szCs w:val="20"/>
          <w:color w:val="auto"/>
        </w:rPr>
      </w:pPr>
    </w:p>
    <w:p>
      <w:pPr>
        <w:jc w:val="both"/>
        <w:ind w:firstLine="644"/>
        <w:spacing w:after="0" w:line="324" w:lineRule="auto"/>
        <w:tabs>
          <w:tab w:leader="none" w:pos="1388"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w:t>
      </w:r>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215" w:lineRule="exact"/>
        <w:rPr>
          <w:sz w:val="20"/>
          <w:szCs w:val="20"/>
          <w:color w:val="auto"/>
        </w:rPr>
      </w:pPr>
    </w:p>
    <w:p>
      <w:pPr>
        <w:jc w:val="both"/>
        <w:ind w:firstLine="644"/>
        <w:spacing w:after="0" w:line="311" w:lineRule="auto"/>
        <w:tabs>
          <w:tab w:leader="none" w:pos="1398"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195" w:lineRule="exact"/>
        <w:rPr>
          <w:sz w:val="20"/>
          <w:szCs w:val="20"/>
          <w:color w:val="auto"/>
        </w:rPr>
      </w:pPr>
    </w:p>
    <w:p>
      <w:pPr>
        <w:ind w:left="2000" w:hanging="707"/>
        <w:spacing w:after="0"/>
        <w:tabs>
          <w:tab w:leader="none" w:pos="200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Minimum Amounts.</w:t>
      </w: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360" w:top="611" w:right="239" w:bottom="1440" w:gutter="0" w:footer="0" w:header="0"/>
        </w:sectPr>
      </w:pPr>
    </w:p>
    <w:bookmarkStart w:id="167" w:name="page168"/>
    <w:bookmarkEnd w:id="167"/>
    <w:p>
      <w:pPr>
        <w:jc w:val="both"/>
        <w:ind w:left="980" w:firstLine="654"/>
        <w:spacing w:after="0" w:line="306" w:lineRule="auto"/>
        <w:tabs>
          <w:tab w:leader="none" w:pos="243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86" w:lineRule="exact"/>
        <w:rPr>
          <w:rFonts w:ascii="Arial" w:cs="Arial" w:eastAsia="Arial" w:hAnsi="Arial"/>
          <w:sz w:val="18"/>
          <w:szCs w:val="18"/>
          <w:color w:val="auto"/>
        </w:rPr>
      </w:pPr>
    </w:p>
    <w:p>
      <w:pPr>
        <w:jc w:val="both"/>
        <w:ind w:left="980" w:firstLine="654"/>
        <w:spacing w:after="0" w:line="319" w:lineRule="auto"/>
        <w:tabs>
          <w:tab w:leader="none" w:pos="2422" w:val="left"/>
        </w:tabs>
        <w:numPr>
          <w:ilvl w:val="1"/>
          <w:numId w:val="253"/>
        </w:numPr>
        <w:rPr>
          <w:rFonts w:ascii="Arial" w:cs="Arial" w:eastAsia="Arial" w:hAnsi="Arial"/>
          <w:sz w:val="17"/>
          <w:szCs w:val="17"/>
          <w:color w:val="auto"/>
        </w:rPr>
      </w:pPr>
      <w:r>
        <w:rPr>
          <w:rFonts w:ascii="Arial" w:cs="Arial" w:eastAsia="Arial" w:hAnsi="Arial"/>
          <w:sz w:val="17"/>
          <w:szCs w:val="17"/>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Loan Facility,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given its consent five (5) Business Days after the date written notice thereof has been delivered by the assigning Lender (through the Administrative Agent) unless such consent is expressly refused by the Borrower prior to such fifth (5th) Business Day;</w:t>
      </w:r>
    </w:p>
    <w:p>
      <w:pPr>
        <w:spacing w:after="0" w:line="197" w:lineRule="exact"/>
        <w:rPr>
          <w:rFonts w:ascii="Arial" w:cs="Arial" w:eastAsia="Arial" w:hAnsi="Arial"/>
          <w:sz w:val="17"/>
          <w:szCs w:val="17"/>
          <w:color w:val="auto"/>
        </w:rPr>
      </w:pPr>
    </w:p>
    <w:p>
      <w:pPr>
        <w:ind w:left="360" w:firstLine="653"/>
        <w:spacing w:after="0" w:line="324" w:lineRule="auto"/>
        <w:tabs>
          <w:tab w:leader="none" w:pos="176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 or the Commitment assigned;</w:t>
      </w:r>
    </w:p>
    <w:p>
      <w:pPr>
        <w:spacing w:after="0" w:line="183" w:lineRule="exact"/>
        <w:rPr>
          <w:rFonts w:ascii="Arial" w:cs="Arial" w:eastAsia="Arial" w:hAnsi="Arial"/>
          <w:sz w:val="18"/>
          <w:szCs w:val="18"/>
          <w:color w:val="auto"/>
        </w:rPr>
      </w:pPr>
    </w:p>
    <w:p>
      <w:pPr>
        <w:ind w:left="360" w:firstLine="653"/>
        <w:spacing w:after="0" w:line="324" w:lineRule="auto"/>
        <w:tabs>
          <w:tab w:leader="none" w:pos="181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paragraph (b)(i)(B) of this Section and, in addition:</w:t>
      </w:r>
    </w:p>
    <w:p>
      <w:pPr>
        <w:spacing w:after="0" w:line="183" w:lineRule="exact"/>
        <w:rPr>
          <w:rFonts w:ascii="Arial" w:cs="Arial" w:eastAsia="Arial" w:hAnsi="Arial"/>
          <w:sz w:val="18"/>
          <w:szCs w:val="18"/>
          <w:color w:val="auto"/>
        </w:rPr>
      </w:pPr>
    </w:p>
    <w:p>
      <w:pPr>
        <w:jc w:val="both"/>
        <w:ind w:left="980" w:firstLine="654"/>
        <w:spacing w:after="0" w:line="311" w:lineRule="auto"/>
        <w:tabs>
          <w:tab w:leader="none" w:pos="243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w:t>
      </w:r>
    </w:p>
    <w:p>
      <w:pPr>
        <w:spacing w:after="0" w:line="222"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to have consented to any such assignment unless it shall object thereto by written notice to the Administrative Agent within 5 Business Days after having received notice thereof;</w:t>
      </w:r>
    </w:p>
    <w:p>
      <w:pPr>
        <w:spacing w:after="0" w:line="211" w:lineRule="exact"/>
        <w:rPr>
          <w:sz w:val="20"/>
          <w:szCs w:val="20"/>
          <w:color w:val="auto"/>
        </w:rPr>
      </w:pPr>
    </w:p>
    <w:p>
      <w:pPr>
        <w:jc w:val="both"/>
        <w:ind w:left="640" w:firstLine="656"/>
        <w:spacing w:after="0" w:line="306" w:lineRule="auto"/>
        <w:tabs>
          <w:tab w:leader="none" w:pos="177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186" w:lineRule="exact"/>
        <w:rPr>
          <w:rFonts w:ascii="Arial" w:cs="Arial" w:eastAsia="Arial" w:hAnsi="Arial"/>
          <w:sz w:val="18"/>
          <w:szCs w:val="18"/>
          <w:color w:val="auto"/>
        </w:rPr>
      </w:pPr>
    </w:p>
    <w:p>
      <w:pPr>
        <w:ind w:left="640" w:firstLine="656"/>
        <w:spacing w:after="0" w:line="324" w:lineRule="auto"/>
        <w:tabs>
          <w:tab w:leader="none" w:pos="177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consents of the Issuing Lenders and the Swingline Lender (such consent not to be unreasonably withheld or delayed) shall be required for any assignment in respect of the Revolving Credit Facility.</w:t>
      </w:r>
    </w:p>
    <w:p>
      <w:pPr>
        <w:spacing w:after="0" w:line="183" w:lineRule="exact"/>
        <w:rPr>
          <w:rFonts w:ascii="Arial" w:cs="Arial" w:eastAsia="Arial" w:hAnsi="Arial"/>
          <w:sz w:val="18"/>
          <w:szCs w:val="18"/>
          <w:color w:val="auto"/>
        </w:rPr>
      </w:pPr>
    </w:p>
    <w:p>
      <w:pPr>
        <w:jc w:val="both"/>
        <w:ind w:firstLine="648"/>
        <w:spacing w:after="0" w:line="304" w:lineRule="auto"/>
        <w:tabs>
          <w:tab w:leader="none" w:pos="1799"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8" w:lineRule="exact"/>
        <w:rPr>
          <w:rFonts w:ascii="Arial" w:cs="Arial" w:eastAsia="Arial" w:hAnsi="Arial"/>
          <w:sz w:val="18"/>
          <w:szCs w:val="18"/>
          <w:color w:val="auto"/>
        </w:rPr>
      </w:pPr>
    </w:p>
    <w:p>
      <w:pPr>
        <w:jc w:val="both"/>
        <w:ind w:firstLine="648"/>
        <w:spacing w:after="0" w:line="364" w:lineRule="auto"/>
        <w:tabs>
          <w:tab w:leader="none" w:pos="1101"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xml:space="preserve"> No such assignment shall be made to (A) Permitted Investor, (B) Holdings or any of its Subsidiaries or Affiliates, (C) so long as no Event of Default has occurred and is continuing, any Competitor or (D) any Defaulting Lender or any of its Subsidiaries, or any Person who, upon becoming a Lender hereunder, would constitute any of the foregoing Persons described in this clause (D).</w:t>
      </w:r>
    </w:p>
    <w:p>
      <w:pPr>
        <w:spacing w:after="0" w:line="148" w:lineRule="exact"/>
        <w:rPr>
          <w:rFonts w:ascii="Arial" w:cs="Arial" w:eastAsia="Arial" w:hAnsi="Arial"/>
          <w:sz w:val="16"/>
          <w:szCs w:val="16"/>
          <w:color w:val="auto"/>
        </w:rPr>
      </w:pPr>
    </w:p>
    <w:p>
      <w:pPr>
        <w:ind w:left="1800" w:hanging="1152"/>
        <w:spacing w:after="0"/>
        <w:tabs>
          <w:tab w:leader="none" w:pos="18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xml:space="preserve"> No such assignment shall be made to a natural Person.</w:t>
      </w:r>
    </w:p>
    <w:p>
      <w:pPr>
        <w:spacing w:after="0" w:line="200" w:lineRule="exact"/>
        <w:rPr>
          <w:sz w:val="20"/>
          <w:szCs w:val="20"/>
          <w:color w:val="auto"/>
        </w:rPr>
      </w:pPr>
    </w:p>
    <w:p>
      <w:pPr>
        <w:spacing w:after="0" w:line="29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640" w:top="828" w:right="239" w:bottom="1440" w:gutter="0" w:footer="0" w:header="0"/>
        </w:sectPr>
      </w:pPr>
    </w:p>
    <w:bookmarkStart w:id="168" w:name="page169"/>
    <w:bookmarkEnd w:id="168"/>
    <w:p>
      <w:pPr>
        <w:jc w:val="both"/>
        <w:ind w:left="264" w:firstLine="654"/>
        <w:spacing w:after="0" w:line="340" w:lineRule="auto"/>
        <w:tabs>
          <w:tab w:leader="none" w:pos="214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12" w:lineRule="exact"/>
        <w:rPr>
          <w:sz w:val="20"/>
          <w:szCs w:val="20"/>
          <w:color w:val="auto"/>
        </w:rPr>
      </w:pPr>
    </w:p>
    <w:p>
      <w:pPr>
        <w:jc w:val="both"/>
        <w:ind w:left="4"/>
        <w:spacing w:after="0" w:line="287"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5.8, 5.9, 5.10, 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the Borrower or any of the Borrower’s Subsidiaries or Affiliates, which shall be null and void.)</w:t>
      </w:r>
    </w:p>
    <w:p>
      <w:pPr>
        <w:spacing w:after="0" w:line="213" w:lineRule="exact"/>
        <w:rPr>
          <w:sz w:val="20"/>
          <w:szCs w:val="20"/>
          <w:color w:val="auto"/>
        </w:rPr>
      </w:pPr>
    </w:p>
    <w:p>
      <w:pPr>
        <w:jc w:val="both"/>
        <w:ind w:left="4" w:firstLine="644"/>
        <w:spacing w:after="0" w:line="344" w:lineRule="auto"/>
        <w:tabs>
          <w:tab w:leader="none" w:pos="1392"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Administrative Agent, acting solely for this purpose as a non-fiduciary agent of the Borrower, shall maintain at one of its offices in Charlotte, North Carolina, a copy of each Assignment and Assumption and each Lender Joinder Agreement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179" w:lineRule="exact"/>
        <w:rPr>
          <w:rFonts w:ascii="Arial" w:cs="Arial" w:eastAsia="Arial" w:hAnsi="Arial"/>
          <w:sz w:val="16"/>
          <w:szCs w:val="16"/>
          <w:color w:val="auto"/>
        </w:rPr>
      </w:pPr>
    </w:p>
    <w:p>
      <w:pPr>
        <w:jc w:val="both"/>
        <w:ind w:left="4" w:firstLine="644"/>
        <w:spacing w:after="0" w:line="301" w:lineRule="auto"/>
        <w:tabs>
          <w:tab w:leader="none" w:pos="1402"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Any Lender may at any time, without the consent of, or notice to, the Borrower or the Administrative Agent, sell participations to any Person (other than a natural Person or the Borrower or any of the Borrower’s Subsidiaries or Affiliates)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Lenders,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with respect to any payments made by such Lender to its Participant(s).</w:t>
      </w:r>
    </w:p>
    <w:p>
      <w:pPr>
        <w:spacing w:after="0" w:line="179"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or modification described in </w:t>
      </w:r>
      <w:r>
        <w:rPr>
          <w:rFonts w:ascii="Arial" w:cs="Arial" w:eastAsia="Arial" w:hAnsi="Arial"/>
          <w:sz w:val="18"/>
          <w:szCs w:val="18"/>
          <w:u w:val="single" w:color="auto"/>
          <w:color w:val="auto"/>
        </w:rPr>
        <w:t>Section 12.2(b), (c), (d)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that directly and adversely affects such Participant. The Borrower agrees that each Participant shall be entitled to the benefits of </w:t>
      </w:r>
      <w:r>
        <w:rPr>
          <w:rFonts w:ascii="Arial" w:cs="Arial" w:eastAsia="Arial" w:hAnsi="Arial"/>
          <w:sz w:val="18"/>
          <w:szCs w:val="18"/>
          <w:u w:val="single" w:color="auto"/>
          <w:color w:val="auto"/>
        </w:rPr>
        <w:t>Sections 5.9,</w:t>
      </w:r>
    </w:p>
    <w:p>
      <w:pPr>
        <w:spacing w:after="0" w:line="4" w:lineRule="exact"/>
        <w:rPr>
          <w:sz w:val="20"/>
          <w:szCs w:val="20"/>
          <w:color w:val="auto"/>
        </w:rPr>
      </w:pPr>
    </w:p>
    <w:p>
      <w:pPr>
        <w:ind w:left="4" w:right="20" w:hanging="4"/>
        <w:spacing w:after="0" w:line="324" w:lineRule="auto"/>
        <w:tabs>
          <w:tab w:leader="none" w:pos="67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shall be delivered to the participating Lender)) to the same</w:t>
      </w:r>
    </w:p>
    <w:p>
      <w:pPr>
        <w:spacing w:after="0" w:line="17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04"/>
          </w:cols>
          <w:pgMar w:left="356" w:top="612"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extent as if it were a Lender and had acquired its</w:t>
      </w:r>
    </w:p>
    <w:p>
      <w:pPr>
        <w:spacing w:after="0" w:line="3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as if it were an assignee under paragraph (b) of this Section; and (B) shall not be entitled to receive any greater payment under </w:t>
      </w:r>
      <w:r>
        <w:rPr>
          <w:rFonts w:ascii="Arial" w:cs="Arial" w:eastAsia="Arial" w:hAnsi="Arial"/>
          <w:sz w:val="17"/>
          <w:szCs w:val="17"/>
          <w:u w:val="single" w:color="auto"/>
          <w:color w:val="auto"/>
        </w:rPr>
        <w:t>Sections 5.10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as though it were a Lender.</w:t>
      </w:r>
    </w:p>
    <w:p>
      <w:pPr>
        <w:spacing w:after="0" w:line="2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4" w:lineRule="exact"/>
        <w:rPr>
          <w:sz w:val="20"/>
          <w:szCs w:val="20"/>
          <w:color w:val="auto"/>
        </w:rPr>
      </w:pPr>
    </w:p>
    <w:p>
      <w:pPr>
        <w:jc w:val="both"/>
        <w:ind w:firstLine="644"/>
        <w:spacing w:after="0" w:line="306" w:lineRule="auto"/>
        <w:tabs>
          <w:tab w:leader="none" w:pos="1388"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xml:space="preserve"> 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to the extent required by Applicable Laws or regulations or in any legal, judicial, administrative or other compulsory proceeding,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(iii) to an investor or prospective investor in an Approved Fund that also agrees that</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Information shall be used solely for the purpose of evaluating an investment in such Approved Fund, (iv) to a trustee, collateral manager, servicer, backup servicer, noteholder or secured party in an Approved Fund in connection with the administration, servicing and reporting on the assets serving as collateral for an Approved Fund, or (v) to a nationally recognized rating agency that requires access to information regarding Holdings and its Subsidiaries, the Loans and the Loan Documents in connection with ratings issued with respect to an Approved Fund, (g) on a confidential basis to (i) any rating agency in connection with rating Holdings or its Subsidiaries or the Credit Facility or (ii) the CUSIP Service Bureau or any similar agency in connection with the issuance and monitoring of CUSIP numbers with respect to the Credit Facility, (h) with the consent of the Borrower,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any Credit Party or its Subsidiary, (k)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00"/>
          </w:cols>
          <w:pgMar w:left="360" w:top="611" w:right="239" w:bottom="1440" w:gutter="0" w:footer="0" w:header="0"/>
        </w:sectPr>
      </w:pPr>
    </w:p>
    <w:bookmarkStart w:id="170" w:name="page171"/>
    <w:bookmarkEnd w:id="170"/>
    <w:p>
      <w:pPr>
        <w:jc w:val="both"/>
        <w:ind w:left="40"/>
        <w:spacing w:after="0" w:line="255" w:lineRule="auto"/>
        <w:rPr>
          <w:sz w:val="20"/>
          <w:szCs w:val="20"/>
          <w:color w:val="auto"/>
        </w:rPr>
      </w:pPr>
      <w:r>
        <w:rPr>
          <w:rFonts w:ascii="Arial" w:cs="Arial" w:eastAsia="Arial" w:hAnsi="Arial"/>
          <w:sz w:val="18"/>
          <w:szCs w:val="18"/>
          <w:color w:val="auto"/>
        </w:rPr>
        <w:t>Administrative Agent or such Lender or any of its subsidiaries or affiliates, (l) to the extent that such information is independently developed by such Commitment Party, or (m) for purposes of establishing a “due diligence” defense.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Credit Party or any Subsidiary thereof after the date hereof, such information is clearly identified at the time of delivery as confidential.</w:t>
      </w:r>
    </w:p>
    <w:p>
      <w:pPr>
        <w:spacing w:after="0" w:line="193" w:lineRule="exact"/>
        <w:rPr>
          <w:sz w:val="20"/>
          <w:szCs w:val="20"/>
          <w:color w:val="auto"/>
        </w:rPr>
      </w:pPr>
    </w:p>
    <w:p>
      <w:pPr>
        <w:jc w:val="both"/>
        <w:ind w:left="40" w:right="20" w:firstLine="648"/>
        <w:spacing w:after="0" w:line="277" w:lineRule="auto"/>
        <w:rPr>
          <w:sz w:val="20"/>
          <w:szCs w:val="20"/>
          <w:color w:val="auto"/>
        </w:rPr>
      </w:pPr>
      <w:r>
        <w:rPr>
          <w:rFonts w:ascii="Arial" w:cs="Arial" w:eastAsia="Arial" w:hAnsi="Arial"/>
          <w:sz w:val="18"/>
          <w:szCs w:val="18"/>
          <w:color w:val="auto"/>
        </w:rPr>
        <w:t>SECTION 12.11 Performance of Duties. Each of the Credit Party’s obligations under this Agreement and each of the other Loan Documents shall be performed by such Credit Party at its sole cost and expense.</w:t>
      </w:r>
    </w:p>
    <w:p>
      <w:pPr>
        <w:spacing w:after="0" w:line="170"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SECTION 12.12 All Powers Coupled with Interest.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87" w:lineRule="exact"/>
        <w:rPr>
          <w:sz w:val="20"/>
          <w:szCs w:val="20"/>
          <w:color w:val="auto"/>
        </w:rPr>
      </w:pPr>
    </w:p>
    <w:p>
      <w:pPr>
        <w:ind w:left="680"/>
        <w:spacing w:after="0"/>
        <w:tabs>
          <w:tab w:leader="none" w:pos="206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u w:val="single" w:color="auto"/>
          <w:color w:val="auto"/>
        </w:rPr>
        <w:t>Survival.</w:t>
      </w:r>
    </w:p>
    <w:p>
      <w:pPr>
        <w:spacing w:after="0" w:line="252" w:lineRule="exact"/>
        <w:rPr>
          <w:sz w:val="20"/>
          <w:szCs w:val="20"/>
          <w:color w:val="auto"/>
        </w:rPr>
      </w:pPr>
    </w:p>
    <w:p>
      <w:pPr>
        <w:jc w:val="both"/>
        <w:ind w:left="40" w:firstLine="644"/>
        <w:spacing w:after="0" w:line="334" w:lineRule="auto"/>
        <w:tabs>
          <w:tab w:leader="none" w:pos="142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All representations and warranties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2" w:lineRule="exact"/>
        <w:rPr>
          <w:rFonts w:ascii="Arial" w:cs="Arial" w:eastAsia="Arial" w:hAnsi="Arial"/>
          <w:sz w:val="16"/>
          <w:szCs w:val="16"/>
          <w:color w:val="auto"/>
        </w:rPr>
      </w:pPr>
    </w:p>
    <w:p>
      <w:pPr>
        <w:jc w:val="both"/>
        <w:ind w:left="40" w:firstLine="644"/>
        <w:spacing w:after="0" w:line="311" w:lineRule="auto"/>
        <w:tabs>
          <w:tab w:leader="none" w:pos="143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Notwithstanding any termination of this Agreement, the indemnities to which the Administrative Agent and the Lenders are entitled under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54" w:lineRule="exact"/>
        <w:rPr>
          <w:sz w:val="20"/>
          <w:szCs w:val="20"/>
          <w:color w:val="auto"/>
        </w:rPr>
      </w:pPr>
    </w:p>
    <w:p>
      <w:pPr>
        <w:jc w:val="both"/>
        <w:ind w:left="40" w:firstLine="648"/>
        <w:spacing w:after="0" w:line="277" w:lineRule="auto"/>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Titles and Captions.</w:t>
      </w:r>
      <w:r>
        <w:rPr>
          <w:rFonts w:ascii="Arial" w:cs="Arial" w:eastAsia="Arial" w:hAnsi="Arial"/>
          <w:sz w:val="18"/>
          <w:szCs w:val="18"/>
          <w:color w:val="auto"/>
        </w:rPr>
        <w:t xml:space="preserve"> Titles and captions of Articles, Sections and subsections in, and the table of contents of, this Agreement are for convenience only, and neither limit nor amplify the provisions of this Agreement.</w:t>
      </w:r>
    </w:p>
    <w:p>
      <w:pPr>
        <w:spacing w:after="0" w:line="170" w:lineRule="exact"/>
        <w:rPr>
          <w:sz w:val="20"/>
          <w:szCs w:val="20"/>
          <w:color w:val="auto"/>
        </w:rPr>
      </w:pPr>
    </w:p>
    <w:p>
      <w:pPr>
        <w:jc w:val="both"/>
        <w:ind w:left="40" w:firstLine="648"/>
        <w:spacing w:after="0" w:line="312" w:lineRule="auto"/>
        <w:rPr>
          <w:sz w:val="20"/>
          <w:szCs w:val="20"/>
          <w:color w:val="auto"/>
        </w:rPr>
      </w:pPr>
      <w:r>
        <w:rPr>
          <w:rFonts w:ascii="Arial" w:cs="Arial" w:eastAsia="Arial" w:hAnsi="Arial"/>
          <w:sz w:val="16"/>
          <w:szCs w:val="16"/>
          <w:color w:val="auto"/>
        </w:rPr>
        <w:t xml:space="preserve">SECTION 12.15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47" w:lineRule="exact"/>
        <w:rPr>
          <w:sz w:val="20"/>
          <w:szCs w:val="20"/>
          <w:color w:val="auto"/>
        </w:rPr>
      </w:pPr>
    </w:p>
    <w:p>
      <w:pPr>
        <w:ind w:left="680"/>
        <w:spacing w:after="0"/>
        <w:tabs>
          <w:tab w:leader="none" w:pos="206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Counterparts; Integration; Effectiveness; Electronic Execution.</w:t>
      </w:r>
    </w:p>
    <w:p>
      <w:pPr>
        <w:spacing w:after="0" w:line="252" w:lineRule="exact"/>
        <w:rPr>
          <w:sz w:val="20"/>
          <w:szCs w:val="20"/>
          <w:color w:val="auto"/>
        </w:rPr>
      </w:pPr>
    </w:p>
    <w:p>
      <w:pPr>
        <w:jc w:val="both"/>
        <w:ind w:left="40" w:firstLine="644"/>
        <w:spacing w:after="0" w:line="343" w:lineRule="auto"/>
        <w:tabs>
          <w:tab w:leader="none" w:pos="1428"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65" w:lineRule="exact"/>
        <w:rPr>
          <w:rFonts w:ascii="Arial" w:cs="Arial" w:eastAsia="Arial" w:hAnsi="Arial"/>
          <w:sz w:val="16"/>
          <w:szCs w:val="16"/>
          <w:color w:val="auto"/>
        </w:rPr>
      </w:pPr>
    </w:p>
    <w:p>
      <w:pPr>
        <w:jc w:val="both"/>
        <w:ind w:firstLine="657"/>
        <w:spacing w:after="0" w:line="325" w:lineRule="auto"/>
        <w:tabs>
          <w:tab w:leader="none" w:pos="1412"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xml:space="preserve">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9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320" w:top="652" w:right="239" w:bottom="1440" w:gutter="0" w:footer="0" w:header="0"/>
        </w:sectPr>
      </w:pPr>
    </w:p>
    <w:bookmarkStart w:id="171" w:name="page172"/>
    <w:bookmarkEnd w:id="171"/>
    <w:p>
      <w:pPr>
        <w:jc w:val="both"/>
        <w:ind w:firstLine="648"/>
        <w:spacing w:after="0" w:line="254" w:lineRule="auto"/>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applicable Issuing Lender and the Revolving Credit Commitment has been terminated. The Administrative Agent is hereby permitted to release all Liens on the Collateral upon the repayment of the outstanding principal of and all accrued interest on the Loans, payment of all outstanding fees and expenses hereunder and the termination of the Revolving Credit Commitment. No termination of this Agreement shall affect the rights and obligations of the parties hereto arising prior to such termination or in respect of any provision of this Agreement which survives such termination.</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12.18 </w:t>
      </w:r>
      <w:r>
        <w:rPr>
          <w:rFonts w:ascii="Arial" w:cs="Arial" w:eastAsia="Arial" w:hAnsi="Arial"/>
          <w:sz w:val="16"/>
          <w:szCs w:val="16"/>
          <w:u w:val="single" w:color="auto"/>
          <w:color w:val="auto"/>
        </w:rPr>
        <w:t>USA PATRIOT Act.</w:t>
      </w:r>
      <w:r>
        <w:rPr>
          <w:rFonts w:ascii="Arial" w:cs="Arial" w:eastAsia="Arial" w:hAnsi="Arial"/>
          <w:sz w:val="16"/>
          <w:szCs w:val="16"/>
          <w:color w:val="auto"/>
        </w:rPr>
        <w:t xml:space="preserve"> The Administrative Agent and each Lender hereby notifies the Borrower that pursuant to the requirements of the PATRIOT Act,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Independent Effect of Covenants.</w:t>
      </w:r>
      <w:r>
        <w:rPr>
          <w:rFonts w:ascii="Arial" w:cs="Arial" w:eastAsia="Arial" w:hAnsi="Arial"/>
          <w:sz w:val="18"/>
          <w:szCs w:val="18"/>
          <w:color w:val="auto"/>
        </w:rPr>
        <w:t xml:space="preserve"> The Borrower expressly acknowledges and agrees that each covenant contained in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shall be given independent effect. Accordingly, the Borrower shall not engage in any transaction or other act otherwise permitted under any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before or after giving effect to such transaction or act, the Borrower shall or would be in breach of any other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p>
    <w:p>
      <w:pPr>
        <w:spacing w:after="0" w:line="241"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8"/>
          <w:szCs w:val="18"/>
          <w:color w:val="auto"/>
        </w:rPr>
        <w:t>SECTION 12.20</w:t>
      </w:r>
      <w:r>
        <w:rPr>
          <w:sz w:val="20"/>
          <w:szCs w:val="20"/>
          <w:color w:val="auto"/>
        </w:rPr>
        <w:tab/>
      </w:r>
      <w:r>
        <w:rPr>
          <w:rFonts w:ascii="Arial" w:cs="Arial" w:eastAsia="Arial" w:hAnsi="Arial"/>
          <w:sz w:val="16"/>
          <w:szCs w:val="16"/>
          <w:u w:val="single" w:color="auto"/>
          <w:color w:val="auto"/>
        </w:rPr>
        <w:t>No Advisory or Fiduciary Responsibility.</w:t>
      </w:r>
    </w:p>
    <w:p>
      <w:pPr>
        <w:spacing w:after="0" w:line="252" w:lineRule="exact"/>
        <w:rPr>
          <w:sz w:val="20"/>
          <w:szCs w:val="20"/>
          <w:color w:val="auto"/>
        </w:rPr>
      </w:pPr>
    </w:p>
    <w:p>
      <w:pPr>
        <w:jc w:val="both"/>
        <w:ind w:firstLine="712"/>
        <w:spacing w:after="0" w:line="338" w:lineRule="auto"/>
        <w:tabs>
          <w:tab w:leader="none" w:pos="137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 length commercial transaction between the Borrower and its Affiliates, on the one hand, and the Administrative Agent, the Arrangers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 or any of its Affiliates, stockholders, creditors or employees or any other Person, (iii) none of the Administrative Agent, the Arrangers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 or any of its Affiliates on other matters) and none of the Administrative Agent, the Arrangers or the Lenders has any obligation to the Borrower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jc w:val="both"/>
        <w:ind w:firstLine="712"/>
        <w:spacing w:after="0" w:line="304" w:lineRule="auto"/>
        <w:tabs>
          <w:tab w:leader="none" w:pos="138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Credit Party acknowledges and agrees that each Lender, the Arrangers and any Affiliate thereof may lend money to, invest in, and generally engage in any kind of business with, any of the Borrower, Holdings,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Holdings,</w:t>
      </w:r>
    </w:p>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Borrower or any Affiliate of the foregoing. Each Lender, the Arrangers and any Affiliate thereof may accept fees and other consideration from Holdings, the Borrower or any Affiliate thereof for services in connection with this Agreement, the Credit Facilities or otherwise without having to account for the same to any other Lender, the Arrangers, Holdings, the Borrower or any Affiliate of the foregoing.</w:t>
      </w: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00"/>
          </w:cols>
          <w:pgMar w:left="360" w:top="584" w:right="239" w:bottom="1440" w:gutter="0" w:footer="0" w:header="0"/>
        </w:sectPr>
      </w:pPr>
    </w:p>
    <w:bookmarkStart w:id="172" w:name="page173"/>
    <w:bookmarkEnd w:id="172"/>
    <w:p>
      <w:pPr>
        <w:jc w:val="both"/>
        <w:ind w:firstLine="648"/>
        <w:spacing w:after="0" w:line="279" w:lineRule="auto"/>
        <w:rPr>
          <w:sz w:val="20"/>
          <w:szCs w:val="20"/>
          <w:color w:val="auto"/>
        </w:rPr>
      </w:pPr>
      <w:r>
        <w:rPr>
          <w:rFonts w:ascii="Arial" w:cs="Arial" w:eastAsia="Arial" w:hAnsi="Arial"/>
          <w:sz w:val="17"/>
          <w:szCs w:val="17"/>
          <w:color w:val="auto"/>
        </w:rPr>
        <w:t xml:space="preserve">SECTION 12.21 </w:t>
      </w:r>
      <w:r>
        <w:rPr>
          <w:rFonts w:ascii="Arial" w:cs="Arial" w:eastAsia="Arial" w:hAnsi="Arial"/>
          <w:sz w:val="17"/>
          <w:szCs w:val="17"/>
          <w:u w:val="single" w:color="auto"/>
          <w:color w:val="auto"/>
        </w:rPr>
        <w:t>Inconsistencies with Other Documents.</w:t>
      </w:r>
      <w:r>
        <w:rPr>
          <w:rFonts w:ascii="Arial" w:cs="Arial" w:eastAsia="Arial" w:hAnsi="Arial"/>
          <w:sz w:val="17"/>
          <w:szCs w:val="17"/>
          <w:color w:val="auto"/>
        </w:rPr>
        <w:t xml:space="preserve"> In the event there is a conflict or inconsistency between this Agreement and any other Loan Document, the terms of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provision of the Security Documents which imposes additional burdens on Holdings or any of its Subsidiaries or further restricts the rights of Holdings or any of its Subsidiaries or gives the Administrative Agent or Lenders additional rights shall not be deemed to be in conflict or inconsistent with this Agreement and shall be given full force and effect.</w:t>
      </w:r>
    </w:p>
    <w:p>
      <w:pPr>
        <w:spacing w:after="0" w:line="16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to follow</w:t>
      </w:r>
      <w:r>
        <w:rPr>
          <w:rFonts w:ascii="Arial" w:cs="Arial" w:eastAsia="Arial" w:hAnsi="Arial"/>
          <w:sz w:val="18"/>
          <w:szCs w:val="18"/>
          <w:b w:val="1"/>
          <w:bCs w:val="1"/>
          <w:color w:val="auto"/>
        </w:rPr>
        <w:t>]</w:t>
      </w: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00"/>
          </w:cols>
          <w:pgMar w:left="360" w:top="814" w:right="239" w:bottom="1440" w:gutter="0" w:footer="0" w:header="0"/>
        </w:sectPr>
      </w:pPr>
    </w:p>
    <w:bookmarkStart w:id="173" w:name="page174"/>
    <w:bookmarkEnd w:id="173"/>
    <w:p>
      <w:pPr>
        <w:ind w:left="5800"/>
        <w:spacing w:after="0"/>
        <w:rPr>
          <w:sz w:val="20"/>
          <w:szCs w:val="20"/>
          <w:color w:val="auto"/>
        </w:rPr>
      </w:pPr>
      <w:r>
        <w:rPr>
          <w:rFonts w:ascii="Arial" w:cs="Arial" w:eastAsia="Arial" w:hAnsi="Arial"/>
          <w:sz w:val="18"/>
          <w:szCs w:val="18"/>
          <w:b w:val="1"/>
          <w:bCs w:val="1"/>
          <w:color w:val="auto"/>
        </w:rPr>
        <w:t>EXHIBIT A-1</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 xml:space="preserve">[FORM OF] </w:t>
      </w:r>
      <w:r>
        <w:rPr>
          <w:rFonts w:ascii="Arial" w:cs="Arial" w:eastAsia="Arial" w:hAnsi="Arial"/>
          <w:sz w:val="18"/>
          <w:szCs w:val="18"/>
          <w:u w:val="single" w:color="auto"/>
          <w:color w:val="auto"/>
        </w:rPr>
        <w:t>REVOLVING CREDIT NOTE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VALUE RECEIVED, the undersigned, ABRH,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unconditionally promises to pay, on the Revolving Credit Maturity Date (as defined in the Credit Agreement referred to below), to [ ] or its registered assigns (the “</w:t>
      </w:r>
      <w:r>
        <w:rPr>
          <w:rFonts w:ascii="Arial" w:cs="Arial" w:eastAsia="Arial" w:hAnsi="Arial"/>
          <w:sz w:val="18"/>
          <w:szCs w:val="18"/>
          <w:u w:val="single" w:color="auto"/>
          <w:color w:val="auto"/>
        </w:rPr>
        <w:t>Lender”</w:t>
      </w:r>
      <w:r>
        <w:rPr>
          <w:rFonts w:ascii="Arial" w:cs="Arial" w:eastAsia="Arial" w:hAnsi="Arial"/>
          <w:sz w:val="18"/>
          <w:szCs w:val="18"/>
          <w:color w:val="auto"/>
        </w:rPr>
        <w:t>), at the office of Wells Fargo Bank, National Association, in lawful money of the United States of America and in immediately available funds, the aggregate unpaid principal amount of all Revolving Loans made by the Lender to the undersigned pursuant to Section 2.1 of the Credit Agreement referred to below. The Borrower further agrees to pay interest in like money at such office on the unpaid principal amount hereof and, to the extent permitted by law, accrued interest in respect hereof from time to time from the date hereof until payment in full of the principal amount hereof and accrued interest hereon, at the rates and on the dates set forth in the Credit Agreement.</w:t>
      </w:r>
    </w:p>
    <w:p>
      <w:pPr>
        <w:spacing w:after="0" w:line="20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Revolving Credit Note is one of the Revolving Credit Notes referred to in the Credit Agreement, dated as of August 19, 2014 (as amended, modified, extended, restated, replaced,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the other Credit Parties, the Lenders and Wells Fargo Bank, National Association, as administrative agent for the Lenders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the holder is entitled to the benefits thereof. Capitalized terms used but not otherwise defined herein shall have the meanings provided in the Credit Agreement.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occurrence of any one or more of the Events of Default specified in the Credit Agreement, all amounts then remaining unpaid on this Revolving Credit Note shall become, or may be declared to be, immediately due and payable, all as and to the extent provided therein. In the event this Revolving Credit Note is not paid when due at any stated or accelerated maturity, the Borrower agrees to pay, in addition to principal and interest, all costs of collection, including reasonable attorneys’ fees.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parties now and hereafter liable with respect to this Revolving Credit Note, whether maker, principal, surety, endorser or otherwise, hereby waive presentment, demand, protest and all other notices of any kind.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Revolving Credit Note may, upon execution, be delivered by facsimile or electronic mail, which shall be deemed for all purposes to be an original signature.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Revolving Credit Note is a Loan Document, is entitled to the benefits of the Loan Documents and is subject to certain provisions of the Credit Agreement, including Sections 1.2 (Other Definitions and Provisions), 12.5 (Governing Law, Jurisdiction, Etc.) and 12.6 (Waiver of Jury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23340171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360" w:top="837" w:right="239" w:bottom="1440" w:gutter="0" w:footer="0" w:header="0"/>
        </w:sectPr>
      </w:pPr>
    </w:p>
    <w:bookmarkStart w:id="174" w:name="page175"/>
    <w:bookmarkEnd w:id="174"/>
    <w:p>
      <w:pPr>
        <w:ind w:firstLine="648"/>
        <w:spacing w:after="0" w:line="277" w:lineRule="auto"/>
        <w:rPr>
          <w:sz w:val="20"/>
          <w:szCs w:val="20"/>
          <w:color w:val="auto"/>
        </w:rPr>
      </w:pPr>
      <w:r>
        <w:rPr>
          <w:rFonts w:ascii="Arial" w:cs="Arial" w:eastAsia="Arial" w:hAnsi="Arial"/>
          <w:sz w:val="18"/>
          <w:szCs w:val="18"/>
          <w:color w:val="auto"/>
        </w:rPr>
        <w:t>THIS REVOLVING CREDIT NOTE SHALL BE GOVERNED BY, AND CONSTRUED AND ENFORCED IN ACCORDANCE WITH, THE LAW OF THE STATE OF NEW YORK.</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20"/>
          </w:cols>
          <w:pgMar w:left="320" w:top="63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320"/>
          </w:cols>
          <w:pgMar w:left="320" w:top="639" w:right="259" w:bottom="1440" w:gutter="0" w:footer="0" w:header="0"/>
          <w:type w:val="continuous"/>
        </w:sectPr>
      </w:pPr>
    </w:p>
    <w:bookmarkStart w:id="175" w:name="page176"/>
    <w:bookmarkEnd w:id="17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Borrower has caused this Revolving Credit Note to be duly executed and delivered by its officer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and at the place first written above.</w:t>
      </w:r>
    </w:p>
    <w:p>
      <w:pPr>
        <w:spacing w:after="0" w:line="200" w:lineRule="exact"/>
        <w:rPr>
          <w:sz w:val="20"/>
          <w:szCs w:val="20"/>
          <w:color w:val="auto"/>
        </w:rPr>
      </w:pPr>
    </w:p>
    <w:p>
      <w:pPr>
        <w:spacing w:after="0" w:line="394"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320" w:top="864" w:right="239" w:bottom="1440" w:gutter="0" w:footer="0" w:header="0"/>
        </w:sectPr>
      </w:pPr>
    </w:p>
    <w:bookmarkStart w:id="176" w:name="page177"/>
    <w:bookmarkEnd w:id="176"/>
    <w:p>
      <w:pPr>
        <w:ind w:left="5800"/>
        <w:spacing w:after="0"/>
        <w:rPr>
          <w:sz w:val="20"/>
          <w:szCs w:val="20"/>
          <w:color w:val="auto"/>
        </w:rPr>
      </w:pPr>
      <w:r>
        <w:rPr>
          <w:rFonts w:ascii="Arial" w:cs="Arial" w:eastAsia="Arial" w:hAnsi="Arial"/>
          <w:sz w:val="18"/>
          <w:szCs w:val="18"/>
          <w:b w:val="1"/>
          <w:bCs w:val="1"/>
          <w:color w:val="auto"/>
        </w:rPr>
        <w:t>EXHIBIT A-2</w:t>
      </w:r>
    </w:p>
    <w:p>
      <w:pPr>
        <w:spacing w:after="0" w:line="22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 xml:space="preserve">[FORM OF] </w:t>
      </w:r>
      <w:r>
        <w:rPr>
          <w:rFonts w:ascii="Arial" w:cs="Arial" w:eastAsia="Arial" w:hAnsi="Arial"/>
          <w:sz w:val="18"/>
          <w:szCs w:val="18"/>
          <w:u w:val="single" w:color="auto"/>
          <w:color w:val="auto"/>
        </w:rPr>
        <w:t>SWINGLINE NOTE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VALUE RECEIVED, the undersigned, ABRH,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unconditionally promises to pay, on the Revolving Credit Maturity Date (as defined in the Credit Agreement referred to below), to [ ] or its registered assigns (the “</w:t>
      </w:r>
      <w:r>
        <w:rPr>
          <w:rFonts w:ascii="Arial" w:cs="Arial" w:eastAsia="Arial" w:hAnsi="Arial"/>
          <w:sz w:val="17"/>
          <w:szCs w:val="17"/>
          <w:u w:val="single" w:color="auto"/>
          <w:color w:val="auto"/>
        </w:rPr>
        <w:t>Swingline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at the office of Wells Fargo Bank, National Association, in lawful money of the United States of America and in immediately available funds, the aggregate unpaid principal amount of all Swingline Loans made by the Lender to the undersigned pursuant to Section 2.2(a) of the Credit Agreement referred to below. The Borrower further agrees to pay interest in like money at such office on the unpaid principal amount hereof and, to the extent permitted by law, accrued interest in respect hereof from time to time from the date hereof until payment in full of the principal amount hereof and accrued interest hereon, at the rates and on the dates set forth in the Credit Agreement.</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Swingline Note is the Swingline Note referred to in the Credit Agreement, dated as of August 19, 2014 (as amended, modified, extended, restated, replaced, or supplemented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 the other Credit Parties, the Lenders and Wells Fargo Bank, National Association, as administrative agent for the Lenders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holder is entitled to the benefits thereof. Capitalized terms used but not otherwise defined herein shall have the meanings provided in the Credit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occurrence of any one or more of the Events of Default specified in the Credit Agreement, all amounts then remaining unpaid on this Swingline Note shall become, or may be declared to be, immediately due and payable, all as and to the extent provided therein. In the event this Swingline Note is not paid when due at any stated or accelerated maturity, the Borrower agrees to pay, in addition to principal and interest, all costs of collection, including reasonable attorneys’ fees.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parties now and hereafter liable with respect to this Swingline Note, whether maker, principal, surety, endorser or otherwise, hereby waive presentment, demand, protest and all other notices of any kind.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Swingline Note may, upon execution, be delivered by facsimile or electronic mail, which shall be deemed for all purposes to be an original signature.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Swingline Note is a Loan Document, is entitled to the benefits of the Loan Documents and is subject to certain provisions of the Credit Agreement, including Sections 1.2 (Other Definitions and Provisions), 12.5 (Governing Law, Jurisdiction, Etc.) and 12.6 (Waiver of Jury Trial).</w:t>
      </w: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00"/>
          </w:cols>
          <w:pgMar w:left="360" w:top="621" w:right="239" w:bottom="1440" w:gutter="0" w:footer="0" w:header="0"/>
        </w:sectPr>
      </w:pPr>
    </w:p>
    <w:bookmarkStart w:id="177" w:name="page178"/>
    <w:bookmarkEnd w:id="177"/>
    <w:p>
      <w:pPr>
        <w:ind w:firstLine="648"/>
        <w:spacing w:after="0" w:line="277" w:lineRule="auto"/>
        <w:rPr>
          <w:sz w:val="20"/>
          <w:szCs w:val="20"/>
          <w:color w:val="auto"/>
        </w:rPr>
      </w:pPr>
      <w:r>
        <w:rPr>
          <w:rFonts w:ascii="Arial" w:cs="Arial" w:eastAsia="Arial" w:hAnsi="Arial"/>
          <w:sz w:val="18"/>
          <w:szCs w:val="18"/>
          <w:color w:val="auto"/>
        </w:rPr>
        <w:t>THIS SWINGLINE NOTE SHALL BE GOVERNED BY, AND CONSTRUED AND ENFORCED IN ACCORDANCE WITH, THE LAW OF THE STATE OF NEW YORK.</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60"/>
          </w:cols>
          <w:pgMar w:left="320" w:top="65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060"/>
          </w:cols>
          <w:pgMar w:left="320" w:top="652" w:right="519" w:bottom="1440" w:gutter="0" w:footer="0" w:header="0"/>
          <w:type w:val="continuous"/>
        </w:sectPr>
      </w:pPr>
    </w:p>
    <w:bookmarkStart w:id="178" w:name="page179"/>
    <w:bookmarkEnd w:id="178"/>
    <w:p>
      <w:pPr>
        <w:spacing w:after="0" w:line="27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2</w:t>
      </w:r>
    </w:p>
    <w:p>
      <w:pPr>
        <w:spacing w:after="0" w:line="2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Borrower has caused this Swingline Note to be duly executed and delivered by its officer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and at the place first written above.</w:t>
      </w:r>
    </w:p>
    <w:p>
      <w:pPr>
        <w:spacing w:after="0" w:line="200" w:lineRule="exact"/>
        <w:rPr>
          <w:sz w:val="20"/>
          <w:szCs w:val="20"/>
          <w:color w:val="auto"/>
        </w:rPr>
      </w:pPr>
    </w:p>
    <w:p>
      <w:pPr>
        <w:spacing w:after="0" w:line="394"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18"/>
          <w:szCs w:val="18"/>
          <w:color w:val="auto"/>
        </w:rPr>
        <w:t>By:</w:t>
        <w:tab/>
        <w:t>Name: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320" w:top="1440" w:right="239" w:bottom="1440" w:gutter="0" w:footer="0" w:header="0"/>
        </w:sectPr>
      </w:pPr>
    </w:p>
    <w:bookmarkStart w:id="179" w:name="page180"/>
    <w:bookmarkEnd w:id="179"/>
    <w:p>
      <w:pPr>
        <w:ind w:left="5800"/>
        <w:spacing w:after="0"/>
        <w:rPr>
          <w:sz w:val="20"/>
          <w:szCs w:val="20"/>
          <w:color w:val="auto"/>
        </w:rPr>
      </w:pPr>
      <w:r>
        <w:rPr>
          <w:rFonts w:ascii="Arial" w:cs="Arial" w:eastAsia="Arial" w:hAnsi="Arial"/>
          <w:sz w:val="18"/>
          <w:szCs w:val="18"/>
          <w:b w:val="1"/>
          <w:bCs w:val="1"/>
          <w:color w:val="auto"/>
        </w:rPr>
        <w:t>EXHIBIT A-3</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u w:val="single" w:color="auto"/>
          <w:color w:val="auto"/>
        </w:rPr>
        <w:t>TERM LOAN NOTE</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VALUE RECEIVED, the undersigned, ABRH,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unconditionally promises to pay, on the Term Loan Maturity Date (as defined in the Credit Agreement referred to below), to [ ] or its registered assigns (the “</w:t>
      </w:r>
      <w:r>
        <w:rPr>
          <w:rFonts w:ascii="Arial" w:cs="Arial" w:eastAsia="Arial" w:hAnsi="Arial"/>
          <w:sz w:val="18"/>
          <w:szCs w:val="18"/>
          <w:u w:val="single" w:color="auto"/>
          <w:color w:val="auto"/>
        </w:rPr>
        <w:t>Lender”</w:t>
      </w:r>
      <w:r>
        <w:rPr>
          <w:rFonts w:ascii="Arial" w:cs="Arial" w:eastAsia="Arial" w:hAnsi="Arial"/>
          <w:sz w:val="18"/>
          <w:szCs w:val="18"/>
          <w:color w:val="auto"/>
        </w:rPr>
        <w:t>) at the office of Wells Fargo Bank, National Association, in lawful money of the United States of America and in immediately available funds, the aggregate unpaid principal amount of the Term Loan made by the Lender to the undersigned pursuant to Section 4.1 of the Credit Agreement referred to below. The undersigned further agrees to pay interest in like money at such office on the unpaid principal amount hereof and, to the extent permitted by law, accrued interest in respect hereof from time to time from the date hereof until payment in full of the principal amount hereof and accrued interest hereon, at the rates and on the dates set forth in the Credit Agreement.</w:t>
      </w:r>
    </w:p>
    <w:p>
      <w:pPr>
        <w:spacing w:after="0" w:line="2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Term Loan Note is one of the Term Loan Notes referred to in the Credit Agreement, dated as of August 19, 2014 (as amended, modified, extended, restated, replaced, or supplemented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 the other Credit Parties, the Lenders and Wells Fargo Bank, National Association, as administrative agent for the Lenders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holder is entitled to the benefits thereof. Capitalized terms used but not otherwise defined herein shall have the meanings provided in the Credit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occurrence of any one or more of the Events of Default specified in the Credit Agreement, all amounts then remaining unpaid on this Term Loan Note shall become, or may be declared to be, immediately due and payable, all as and to the extent provided therein. In the event this Term Loan Note is not paid when due at any stated or accelerated maturity, the Borrower agrees to pay, in addition to principal and interest, all costs of collection, including reasonable attorneys’ fees.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parties now and hereafter liable with respect to this Term Loan Note, whether maker, principal, surety, endorser or otherwise, hereby waive presentment, demand, protest and all other notices of any kind.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Term Loan Note may, upon execution, be delivered by facsimile or electronic mail, which shall be deemed for all purposes to be an original signature.</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This Term Loan Note is a Loan Document, is entitled to the benefits of the Loan Documents and is subject to certain provisions of the Credit Agreement, including Sections 1.2 (Other Definitions and Provisions), 12.5 (Governing Law, Jurisdiction, Etc.) and 12.6 (Waiver of Jury Trial).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00"/>
          </w:cols>
          <w:pgMar w:left="360" w:top="621" w:right="239" w:bottom="1440" w:gutter="0" w:footer="0" w:header="0"/>
        </w:sectPr>
      </w:pPr>
    </w:p>
    <w:bookmarkStart w:id="180" w:name="page181"/>
    <w:bookmarkEnd w:id="180"/>
    <w:p>
      <w:pPr>
        <w:ind w:firstLine="648"/>
        <w:spacing w:after="0" w:line="277" w:lineRule="auto"/>
        <w:rPr>
          <w:sz w:val="20"/>
          <w:szCs w:val="20"/>
          <w:color w:val="auto"/>
        </w:rPr>
      </w:pPr>
      <w:r>
        <w:rPr>
          <w:rFonts w:ascii="Arial" w:cs="Arial" w:eastAsia="Arial" w:hAnsi="Arial"/>
          <w:sz w:val="18"/>
          <w:szCs w:val="18"/>
          <w:color w:val="auto"/>
        </w:rPr>
        <w:t>THIS TERM LOAN NOTE SHALL BE GOVERNED BY, AND CONSTRUED AND ENFORCED IN ACCORDANCE WITH, THE LAW OF THE STATE OF NEW YORK.</w:t>
      </w:r>
    </w:p>
    <w:p>
      <w:pPr>
        <w:spacing w:after="0" w:line="18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100"/>
          </w:cols>
          <w:pgMar w:left="320" w:top="63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100"/>
          </w:cols>
          <w:pgMar w:left="320" w:top="638" w:right="479" w:bottom="1440" w:gutter="0" w:footer="0" w:header="0"/>
          <w:type w:val="continuous"/>
        </w:sectPr>
      </w:pPr>
    </w:p>
    <w:bookmarkStart w:id="181" w:name="page182"/>
    <w:bookmarkEnd w:id="181"/>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Borrower has caused this Term Loan Note to be duly executed and delivered by its officer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and at the place first written above.</w:t>
      </w:r>
    </w:p>
    <w:p>
      <w:pPr>
        <w:spacing w:after="0" w:line="200" w:lineRule="exact"/>
        <w:rPr>
          <w:sz w:val="20"/>
          <w:szCs w:val="20"/>
          <w:color w:val="auto"/>
        </w:rPr>
      </w:pPr>
    </w:p>
    <w:p>
      <w:pPr>
        <w:spacing w:after="0" w:line="394"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18"/>
          <w:szCs w:val="18"/>
          <w:color w:val="auto"/>
        </w:rPr>
        <w:t>By:</w:t>
        <w:tab/>
        <w:t>Name: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40"/>
          </w:cols>
          <w:pgMar w:left="320" w:top="864" w:right="239" w:bottom="1440" w:gutter="0" w:footer="0" w:header="0"/>
        </w:sectPr>
      </w:pPr>
    </w:p>
    <w:bookmarkStart w:id="182" w:name="page183"/>
    <w:bookmarkEnd w:id="182"/>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80" w:type="dxa"/>
            <w:vAlign w:val="bottom"/>
            <w:gridSpan w:val="5"/>
          </w:tcPr>
          <w:p>
            <w:pPr>
              <w:ind w:left="1220"/>
              <w:spacing w:after="0"/>
              <w:rPr>
                <w:sz w:val="20"/>
                <w:szCs w:val="20"/>
                <w:color w:val="auto"/>
              </w:rPr>
            </w:pPr>
            <w:r>
              <w:rPr>
                <w:rFonts w:ascii="Arial" w:cs="Arial" w:eastAsia="Arial" w:hAnsi="Arial"/>
                <w:sz w:val="18"/>
                <w:szCs w:val="18"/>
                <w:b w:val="1"/>
                <w:bCs w:val="1"/>
                <w:color w:val="auto"/>
              </w:rPr>
              <w:t>EXHIBIT B</w:t>
            </w:r>
          </w:p>
        </w:tc>
      </w:tr>
      <w:tr>
        <w:trPr>
          <w:trHeight w:val="418"/>
        </w:trPr>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560" w:type="dxa"/>
            <w:vAlign w:val="bottom"/>
            <w:gridSpan w:val="6"/>
          </w:tcPr>
          <w:p>
            <w:pPr>
              <w:spacing w:after="0"/>
              <w:rPr>
                <w:sz w:val="20"/>
                <w:szCs w:val="20"/>
                <w:color w:val="auto"/>
              </w:rPr>
            </w:pPr>
            <w:r>
              <w:rPr>
                <w:rFonts w:ascii="Arial" w:cs="Arial" w:eastAsia="Arial" w:hAnsi="Arial"/>
                <w:sz w:val="18"/>
                <w:szCs w:val="18"/>
                <w:color w:val="auto"/>
              </w:rPr>
              <w:t>[FORM OF]</w:t>
            </w:r>
          </w:p>
        </w:tc>
      </w:tr>
      <w:tr>
        <w:trPr>
          <w:trHeight w:val="190"/>
        </w:trPr>
        <w:tc>
          <w:tcPr>
            <w:tcW w:w="6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560" w:type="dxa"/>
            <w:vAlign w:val="bottom"/>
            <w:gridSpan w:val="6"/>
          </w:tcPr>
          <w:p>
            <w:pPr>
              <w:spacing w:after="0" w:line="190" w:lineRule="exact"/>
              <w:rPr>
                <w:sz w:val="20"/>
                <w:szCs w:val="20"/>
                <w:color w:val="auto"/>
              </w:rPr>
            </w:pPr>
            <w:r>
              <w:rPr>
                <w:rFonts w:ascii="Arial" w:cs="Arial" w:eastAsia="Arial" w:hAnsi="Arial"/>
                <w:sz w:val="18"/>
                <w:szCs w:val="18"/>
                <w:color w:val="auto"/>
              </w:rPr>
              <w:t>NOTICE OF BORROWING</w:t>
            </w:r>
          </w:p>
        </w:tc>
      </w:tr>
      <w:tr>
        <w:trPr>
          <w:trHeight w:val="20"/>
        </w:trPr>
        <w:tc>
          <w:tcPr>
            <w:tcW w:w="3660" w:type="dxa"/>
            <w:vAlign w:val="bottom"/>
            <w:gridSpan w:val="2"/>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723"/>
        </w:trPr>
        <w:tc>
          <w:tcPr>
            <w:tcW w:w="11220" w:type="dxa"/>
            <w:vAlign w:val="bottom"/>
            <w:gridSpan w:val="8"/>
          </w:tcPr>
          <w:p>
            <w:pPr>
              <w:spacing w:after="0"/>
              <w:rPr>
                <w:sz w:val="20"/>
                <w:szCs w:val="20"/>
                <w:color w:val="auto"/>
              </w:rPr>
            </w:pPr>
            <w:r>
              <w:rPr>
                <w:rFonts w:ascii="Arial" w:cs="Arial" w:eastAsia="Arial" w:hAnsi="Arial"/>
                <w:sz w:val="18"/>
                <w:szCs w:val="18"/>
                <w:color w:val="auto"/>
              </w:rPr>
              <w:t>TO:  Wells Fargo Bank, National Association, as Administrative Agent</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620" w:type="dxa"/>
            <w:vAlign w:val="bottom"/>
            <w:gridSpan w:val="7"/>
          </w:tcPr>
          <w:p>
            <w:pPr>
              <w:ind w:left="700"/>
              <w:spacing w:after="0"/>
              <w:rPr>
                <w:sz w:val="20"/>
                <w:szCs w:val="20"/>
                <w:color w:val="auto"/>
              </w:rPr>
            </w:pPr>
            <w:r>
              <w:rPr>
                <w:rFonts w:ascii="Arial" w:cs="Arial" w:eastAsia="Arial" w:hAnsi="Arial"/>
                <w:sz w:val="18"/>
                <w:szCs w:val="18"/>
                <w:color w:val="auto"/>
                <w:w w:val="93"/>
              </w:rPr>
              <w:t>Credit Agreement, dated as of August 19, 2014, by and among ABRH, LLC, a Delaware limited liability company (the “Borrower”), the</w:t>
            </w:r>
          </w:p>
        </w:tc>
      </w:tr>
      <w:tr>
        <w:trPr>
          <w:trHeight w:val="20"/>
        </w:trPr>
        <w:tc>
          <w:tcPr>
            <w:tcW w:w="600" w:type="dxa"/>
            <w:vAlign w:val="bottom"/>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620" w:type="dxa"/>
            <w:vAlign w:val="bottom"/>
            <w:gridSpan w:val="7"/>
          </w:tcPr>
          <w:p>
            <w:pPr>
              <w:ind w:left="700"/>
              <w:spacing w:after="0"/>
              <w:rPr>
                <w:sz w:val="20"/>
                <w:szCs w:val="20"/>
                <w:color w:val="auto"/>
              </w:rPr>
            </w:pPr>
            <w:r>
              <w:rPr>
                <w:rFonts w:ascii="Arial" w:cs="Arial" w:eastAsia="Arial" w:hAnsi="Arial"/>
                <w:sz w:val="18"/>
                <w:szCs w:val="18"/>
                <w:color w:val="auto"/>
                <w:w w:val="93"/>
              </w:rPr>
              <w:t>other Credit Parties, the Lenders and Wells Fargo Bank, National Association, as Administrative Agent for the Lenders (as amended,</w:t>
            </w:r>
          </w:p>
        </w:tc>
      </w:tr>
      <w:tr>
        <w:trPr>
          <w:trHeight w:val="190"/>
        </w:trPr>
        <w:tc>
          <w:tcPr>
            <w:tcW w:w="600" w:type="dxa"/>
            <w:vAlign w:val="bottom"/>
          </w:tcPr>
          <w:p>
            <w:pPr>
              <w:spacing w:after="0"/>
              <w:rPr>
                <w:sz w:val="16"/>
                <w:szCs w:val="16"/>
                <w:color w:val="auto"/>
              </w:rPr>
            </w:pPr>
          </w:p>
        </w:tc>
        <w:tc>
          <w:tcPr>
            <w:tcW w:w="10620" w:type="dxa"/>
            <w:vAlign w:val="bottom"/>
            <w:gridSpan w:val="7"/>
          </w:tcPr>
          <w:p>
            <w:pPr>
              <w:ind w:left="700"/>
              <w:spacing w:after="0" w:line="190" w:lineRule="exact"/>
              <w:rPr>
                <w:sz w:val="20"/>
                <w:szCs w:val="20"/>
                <w:color w:val="auto"/>
              </w:rPr>
            </w:pPr>
            <w:r>
              <w:rPr>
                <w:rFonts w:ascii="Arial" w:cs="Arial" w:eastAsia="Arial" w:hAnsi="Arial"/>
                <w:sz w:val="18"/>
                <w:szCs w:val="18"/>
                <w:color w:val="auto"/>
                <w:w w:val="90"/>
              </w:rPr>
              <w:t>modified, extended, restated, replaced, or supplemented from time to time, the “Credit Agreement”; capitalized terms used herein and not</w:t>
            </w:r>
          </w:p>
        </w:tc>
      </w:tr>
      <w:tr>
        <w:trPr>
          <w:trHeight w:val="237"/>
        </w:trPr>
        <w:tc>
          <w:tcPr>
            <w:tcW w:w="600" w:type="dxa"/>
            <w:vAlign w:val="bottom"/>
          </w:tcPr>
          <w:p>
            <w:pPr>
              <w:spacing w:after="0"/>
              <w:rPr>
                <w:sz w:val="20"/>
                <w:szCs w:val="20"/>
                <w:color w:val="auto"/>
              </w:rPr>
            </w:pPr>
          </w:p>
        </w:tc>
        <w:tc>
          <w:tcPr>
            <w:tcW w:w="6460" w:type="dxa"/>
            <w:vAlign w:val="bottom"/>
            <w:gridSpan w:val="3"/>
          </w:tcPr>
          <w:p>
            <w:pPr>
              <w:ind w:left="700"/>
              <w:spacing w:after="0"/>
              <w:rPr>
                <w:sz w:val="20"/>
                <w:szCs w:val="20"/>
                <w:color w:val="auto"/>
              </w:rPr>
            </w:pPr>
            <w:r>
              <w:rPr>
                <w:rFonts w:ascii="Arial" w:cs="Arial" w:eastAsia="Arial" w:hAnsi="Arial"/>
                <w:sz w:val="18"/>
                <w:szCs w:val="18"/>
                <w:color w:val="auto"/>
                <w:w w:val="93"/>
              </w:rPr>
              <w:t>otherwise defined shall have the meanings set forth in the Credit Agreement)</w:t>
            </w:r>
          </w:p>
        </w:tc>
        <w:tc>
          <w:tcPr>
            <w:tcW w:w="1380" w:type="dxa"/>
            <w:vAlign w:val="bottom"/>
            <w:tcBorders>
              <w:top w:val="single" w:sz="8" w:color="auto"/>
            </w:tcBorders>
          </w:tcPr>
          <w:p>
            <w:pPr>
              <w:spacing w:after="0"/>
              <w:rPr>
                <w:sz w:val="20"/>
                <w:szCs w:val="20"/>
                <w:color w:val="auto"/>
              </w:rPr>
            </w:pPr>
          </w:p>
        </w:tc>
        <w:tc>
          <w:tcPr>
            <w:tcW w:w="2780" w:type="dxa"/>
            <w:vAlign w:val="bottom"/>
            <w:gridSpan w:val="3"/>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620" w:type="dxa"/>
            <w:vAlign w:val="bottom"/>
            <w:gridSpan w:val="7"/>
          </w:tcPr>
          <w:p>
            <w:pPr>
              <w:ind w:left="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Section [2.3(a)][4.2][5.13] of the Credit Agreement, the Borrower hereby requests the following (the “</w:t>
      </w:r>
      <w:r>
        <w:rPr>
          <w:rFonts w:ascii="Arial" w:cs="Arial" w:eastAsia="Arial" w:hAnsi="Arial"/>
          <w:sz w:val="17"/>
          <w:szCs w:val="17"/>
          <w:u w:val="single" w:color="auto"/>
          <w:color w:val="auto"/>
        </w:rPr>
        <w:t>Proposed Borrowing”</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be made as follows:</w:t>
      </w:r>
      <w:r>
        <w:rPr>
          <w:rFonts w:ascii="Arial" w:cs="Arial" w:eastAsia="Arial" w:hAnsi="Arial"/>
          <w:sz w:val="18"/>
          <w:szCs w:val="18"/>
          <w:color w:val="auto"/>
        </w:rPr>
        <w:t>]1</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32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9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(one, three, six or twelve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Rate (Base Rate/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months4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rPr>
              <w:t>Date2</w:t>
            </w:r>
          </w:p>
        </w:tc>
        <w:tc>
          <w:tcPr>
            <w:tcW w:w="320" w:type="dxa"/>
            <w:vAlign w:val="bottom"/>
            <w:tcBorders>
              <w:right w:val="single" w:sz="8" w:color="auto"/>
            </w:tcBorders>
          </w:tcPr>
          <w:p>
            <w:pPr>
              <w:spacing w:after="0"/>
              <w:rPr>
                <w:sz w:val="20"/>
                <w:szCs w:val="20"/>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Amount</w:t>
            </w:r>
          </w:p>
        </w:tc>
        <w:tc>
          <w:tcPr>
            <w:tcW w:w="72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LIBOR Rate)3</w:t>
            </w:r>
          </w:p>
        </w:tc>
        <w:tc>
          <w:tcPr>
            <w:tcW w:w="80" w:type="dxa"/>
            <w:vAlign w:val="bottom"/>
          </w:tcPr>
          <w:p>
            <w:pPr>
              <w:spacing w:after="0"/>
              <w:rPr>
                <w:sz w:val="20"/>
                <w:szCs w:val="20"/>
                <w:color w:val="auto"/>
              </w:rPr>
            </w:pPr>
          </w:p>
        </w:tc>
        <w:tc>
          <w:tcPr>
            <w:tcW w:w="20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5"/>
              </w:rPr>
              <w:t>-- for LIBOR Rate only)2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Closing Date</w:t>
            </w:r>
          </w:p>
        </w:tc>
        <w:tc>
          <w:tcPr>
            <w:tcW w:w="320" w:type="dxa"/>
            <w:vAlign w:val="bottom"/>
            <w:tcBorders>
              <w:right w:val="single" w:sz="8" w:color="auto"/>
            </w:tcBorders>
          </w:tcPr>
          <w:p>
            <w:pPr>
              <w:spacing w:after="0"/>
              <w:rPr>
                <w:sz w:val="20"/>
                <w:szCs w:val="20"/>
                <w:color w:val="auto"/>
              </w:rPr>
            </w:pPr>
          </w:p>
        </w:tc>
        <w:tc>
          <w:tcPr>
            <w:tcW w:w="146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2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4340" w:type="dxa"/>
            <w:vAlign w:val="bottom"/>
            <w:gridSpan w:val="6"/>
          </w:tcPr>
          <w:p>
            <w:pPr>
              <w:jc w:val="right"/>
              <w:ind w:right="1200"/>
              <w:spacing w:after="0"/>
              <w:rPr>
                <w:sz w:val="20"/>
                <w:szCs w:val="20"/>
                <w:color w:val="auto"/>
              </w:rPr>
            </w:pPr>
            <w:r>
              <w:rPr>
                <w:rFonts w:ascii="Arial" w:cs="Arial" w:eastAsia="Arial" w:hAnsi="Arial"/>
                <w:sz w:val="18"/>
                <w:szCs w:val="18"/>
                <w:color w:val="auto"/>
                <w:w w:val="91"/>
              </w:rPr>
              <w:t>[Incremental Facility be made as follows:]5</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Interest Period</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w w:val="97"/>
              </w:rPr>
              <w:t>[Type of Incremental</w:t>
            </w:r>
          </w:p>
        </w:tc>
        <w:tc>
          <w:tcPr>
            <w:tcW w:w="7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w w:val="89"/>
              </w:rPr>
              <w:t>Interest Rate</w:t>
            </w:r>
          </w:p>
        </w:tc>
        <w:tc>
          <w:tcPr>
            <w:tcW w:w="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(one, three, six or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(Base Rate/</w:t>
            </w:r>
          </w:p>
        </w:tc>
        <w:tc>
          <w:tcPr>
            <w:tcW w:w="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17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Facility]</w:t>
            </w:r>
          </w:p>
        </w:tc>
        <w:tc>
          <w:tcPr>
            <w:tcW w:w="720" w:type="dxa"/>
            <w:vAlign w:val="bottom"/>
          </w:tcPr>
          <w:p>
            <w:pPr>
              <w:ind w:left="20"/>
              <w:spacing w:after="0"/>
              <w:rPr>
                <w:sz w:val="20"/>
                <w:szCs w:val="20"/>
                <w:color w:val="auto"/>
              </w:rPr>
            </w:pPr>
            <w:r>
              <w:rPr>
                <w:rFonts w:ascii="Arial" w:cs="Arial" w:eastAsia="Arial" w:hAnsi="Arial"/>
                <w:sz w:val="18"/>
                <w:szCs w:val="18"/>
                <w:color w:val="auto"/>
              </w:rPr>
              <w:t>Amount</w:t>
            </w:r>
          </w:p>
        </w:tc>
        <w:tc>
          <w:tcPr>
            <w:tcW w:w="1060" w:type="dxa"/>
            <w:vAlign w:val="bottom"/>
            <w:tcBorders>
              <w:right w:val="single" w:sz="8" w:color="auto"/>
            </w:tcBorders>
          </w:tcPr>
          <w:p>
            <w:pPr>
              <w:spacing w:after="0"/>
              <w:rPr>
                <w:sz w:val="20"/>
                <w:szCs w:val="20"/>
                <w:color w:val="auto"/>
              </w:rPr>
            </w:pPr>
          </w:p>
        </w:tc>
        <w:tc>
          <w:tcPr>
            <w:tcW w:w="1660" w:type="dxa"/>
            <w:vAlign w:val="bottom"/>
            <w:gridSpan w:val="2"/>
          </w:tcPr>
          <w:p>
            <w:pPr>
              <w:jc w:val="center"/>
              <w:ind w:left="310"/>
              <w:spacing w:after="0"/>
              <w:rPr>
                <w:sz w:val="20"/>
                <w:szCs w:val="20"/>
                <w:color w:val="auto"/>
              </w:rPr>
            </w:pPr>
            <w:r>
              <w:rPr>
                <w:rFonts w:ascii="Arial" w:cs="Arial" w:eastAsia="Arial" w:hAnsi="Arial"/>
                <w:sz w:val="18"/>
                <w:szCs w:val="18"/>
                <w:color w:val="auto"/>
                <w:w w:val="95"/>
              </w:rPr>
              <w:t>LIBOR Rate)</w:t>
            </w:r>
          </w:p>
        </w:tc>
        <w:tc>
          <w:tcPr>
            <w:tcW w:w="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 for LIBOR Rate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hanging="543"/>
        <w:spacing w:after="0"/>
        <w:tabs>
          <w:tab w:leader="none" w:pos="5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Only to be used on the Closing Date.</w:t>
      </w:r>
    </w:p>
    <w:p>
      <w:pPr>
        <w:spacing w:after="0" w:line="50" w:lineRule="exact"/>
        <w:rPr>
          <w:sz w:val="20"/>
          <w:szCs w:val="20"/>
          <w:color w:val="auto"/>
        </w:rPr>
      </w:pPr>
    </w:p>
    <w:p>
      <w:pPr>
        <w:ind w:left="20" w:right="680" w:hanging="3"/>
        <w:spacing w:after="0" w:line="297" w:lineRule="auto"/>
        <w:tabs>
          <w:tab w:leader="none" w:pos="5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LIBOR Rate Loans in any amount are only available if this Notice of Borrowing is provided to the Administrative Agent not later the third Business Day prior to the date of the requested borrowing.</w:t>
      </w:r>
    </w:p>
    <w:p>
      <w:pPr>
        <w:ind w:left="2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LIBOR Rate is only available on the Closing Date if the Borrower delivers a Funding Indemnity Letter in accordance with the Credit Agreement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Notice for LIBOR Rate Loans having an Interest Period of twelve months must be received four (4) Business Days prior to the requested date of</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such borrowing.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5Only to be used in connection with an Incremental Facility issued pursuant to Section 5.13.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420" w:top="621" w:right="239" w:bottom="1440" w:gutter="0" w:footer="0" w:header="0"/>
        </w:sectPr>
      </w:pPr>
    </w:p>
    <w:bookmarkStart w:id="183" w:name="page184"/>
    <w:bookmarkEnd w:id="183"/>
    <w:tbl>
      <w:tblPr>
        <w:tblLayout w:type="fixed"/>
        <w:tblInd w:w="20" w:type="dxa"/>
        <w:tblCellMar>
          <w:top w:w="0" w:type="dxa"/>
          <w:left w:w="0" w:type="dxa"/>
          <w:bottom w:w="0" w:type="dxa"/>
          <w:right w:w="0" w:type="dxa"/>
        </w:tblCellMar>
      </w:tblPr>
      <w:tr>
        <w:trPr>
          <w:trHeight w:val="257"/>
        </w:trPr>
        <w:tc>
          <w:tcPr>
            <w:tcW w:w="1260" w:type="dxa"/>
            <w:vAlign w:val="bottom"/>
            <w:tcBorders>
              <w:right w:val="single" w:sz="8" w:color="auto"/>
            </w:tcBorders>
          </w:tcPr>
          <w:p>
            <w:pPr>
              <w:spacing w:after="0"/>
              <w:rPr>
                <w:sz w:val="22"/>
                <w:szCs w:val="22"/>
                <w:color w:val="auto"/>
              </w:rPr>
            </w:pPr>
          </w:p>
        </w:tc>
        <w:tc>
          <w:tcPr>
            <w:tcW w:w="1300" w:type="dxa"/>
            <w:vAlign w:val="bottom"/>
            <w:tcBorders>
              <w:top w:val="single" w:sz="8" w:color="auto"/>
              <w:right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only)</w:t>
            </w:r>
          </w:p>
        </w:tc>
      </w:tr>
      <w:tr>
        <w:trPr>
          <w:trHeight w:val="27"/>
        </w:trPr>
        <w:tc>
          <w:tcPr>
            <w:tcW w:w="126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318"/>
        </w:trPr>
        <w:tc>
          <w:tcPr>
            <w:tcW w:w="1260" w:type="dxa"/>
            <w:vAlign w:val="bottom"/>
            <w:tcBorders>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439"/>
        </w:trPr>
        <w:tc>
          <w:tcPr>
            <w:tcW w:w="2880" w:type="dxa"/>
            <w:vAlign w:val="bottom"/>
            <w:gridSpan w:val="4"/>
          </w:tcPr>
          <w:p>
            <w:pPr>
              <w:spacing w:after="0"/>
              <w:rPr>
                <w:sz w:val="20"/>
                <w:szCs w:val="20"/>
                <w:color w:val="auto"/>
              </w:rPr>
            </w:pPr>
            <w:r>
              <w:rPr>
                <w:rFonts w:ascii="Arial" w:cs="Arial" w:eastAsia="Arial" w:hAnsi="Arial"/>
                <w:sz w:val="18"/>
                <w:szCs w:val="18"/>
                <w:color w:val="auto"/>
                <w:w w:val="95"/>
              </w:rPr>
              <w:t>Revolving Loans be made as follows:</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85"/>
        </w:trPr>
        <w:tc>
          <w:tcPr>
            <w:tcW w:w="1260" w:type="dxa"/>
            <w:vAlign w:val="bottom"/>
            <w:tcBorders>
              <w:top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22"/>
        </w:trPr>
        <w:tc>
          <w:tcPr>
            <w:tcW w:w="12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Interest</w:t>
            </w:r>
          </w:p>
        </w:tc>
      </w:tr>
      <w:tr>
        <w:trPr>
          <w:trHeight w:val="216"/>
        </w:trPr>
        <w:tc>
          <w:tcPr>
            <w:tcW w:w="12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Period</w:t>
            </w:r>
          </w:p>
        </w:tc>
      </w:tr>
      <w:tr>
        <w:trPr>
          <w:trHeight w:val="216"/>
        </w:trPr>
        <w:tc>
          <w:tcPr>
            <w:tcW w:w="12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(one, three, six or twelve</w:t>
            </w:r>
          </w:p>
        </w:tc>
      </w:tr>
      <w:tr>
        <w:trPr>
          <w:trHeight w:val="216"/>
        </w:trPr>
        <w:tc>
          <w:tcPr>
            <w:tcW w:w="12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Rate (Base Rate/</w:t>
            </w:r>
          </w:p>
        </w:tc>
        <w:tc>
          <w:tcPr>
            <w:tcW w:w="160" w:type="dxa"/>
            <w:vAlign w:val="bottom"/>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months</w:t>
            </w:r>
          </w:p>
        </w:tc>
      </w:tr>
      <w:tr>
        <w:trPr>
          <w:trHeight w:val="230"/>
        </w:trPr>
        <w:tc>
          <w:tcPr>
            <w:tcW w:w="126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Date</w:t>
            </w:r>
          </w:p>
        </w:tc>
        <w:tc>
          <w:tcPr>
            <w:tcW w:w="1260" w:type="dxa"/>
            <w:vAlign w:val="bottom"/>
          </w:tcPr>
          <w:p>
            <w:pPr>
              <w:ind w:left="20"/>
              <w:spacing w:after="0"/>
              <w:rPr>
                <w:sz w:val="20"/>
                <w:szCs w:val="20"/>
                <w:color w:val="auto"/>
              </w:rPr>
            </w:pPr>
            <w:r>
              <w:rPr>
                <w:rFonts w:ascii="Arial" w:cs="Arial" w:eastAsia="Arial" w:hAnsi="Arial"/>
                <w:sz w:val="18"/>
                <w:szCs w:val="18"/>
                <w:color w:val="auto"/>
              </w:rPr>
              <w:t>Amount</w:t>
            </w:r>
          </w:p>
        </w:tc>
        <w:tc>
          <w:tcPr>
            <w:tcW w:w="92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LIBOR Rate)</w:t>
            </w:r>
          </w:p>
        </w:tc>
        <w:tc>
          <w:tcPr>
            <w:tcW w:w="16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for LIBOR Rate only)</w:t>
            </w:r>
          </w:p>
        </w:tc>
      </w:tr>
      <w:tr>
        <w:trPr>
          <w:trHeight w:val="27"/>
        </w:trPr>
        <w:tc>
          <w:tcPr>
            <w:tcW w:w="1260" w:type="dxa"/>
            <w:vAlign w:val="bottom"/>
            <w:tcBorders>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318"/>
        </w:trPr>
        <w:tc>
          <w:tcPr>
            <w:tcW w:w="1260" w:type="dxa"/>
            <w:vAlign w:val="bottom"/>
            <w:tcBorders>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318"/>
        </w:trPr>
        <w:tc>
          <w:tcPr>
            <w:tcW w:w="1260" w:type="dxa"/>
            <w:vAlign w:val="bottom"/>
            <w:tcBorders>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318"/>
        </w:trPr>
        <w:tc>
          <w:tcPr>
            <w:tcW w:w="1260" w:type="dxa"/>
            <w:vAlign w:val="bottom"/>
            <w:tcBorders>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420" w:top="714" w:right="239"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REVOLVING LOAN BORROWINGS THAT ARE (A) BASE RATE LOANS MUST BE IN A MINIMUM AGGREGATE AMOUNT OF $1,000,000 AND IN INTEGRAL MULTIPLES OF $100,000 IN EXCESS THEREOF AND (B) LIBOR RATE LOANS MUST BE IN A MINIMUM AGGREGATE AMOUNT OF $2,000,000 AND IN INTEGRAL MULTIPLES OF $250,000 IN EXCESS THEREOF</w:t>
      </w:r>
    </w:p>
    <w:p>
      <w:pPr>
        <w:spacing w:after="0" w:line="179" w:lineRule="exact"/>
        <w:rPr>
          <w:sz w:val="20"/>
          <w:szCs w:val="20"/>
          <w:color w:val="auto"/>
        </w:rPr>
      </w:pPr>
    </w:p>
    <w:p>
      <w:pPr>
        <w:sectPr>
          <w:pgSz w:w="11900" w:h="16838" w:orient="portrait"/>
          <w:cols w:equalWidth="0" w:num="2">
            <w:col w:w="600" w:space="720"/>
            <w:col w:w="9920"/>
          </w:cols>
          <w:pgMar w:left="420" w:top="714" w:right="239" w:bottom="1440" w:gutter="0" w:footer="0" w:header="0"/>
          <w:type w:val="continuous"/>
        </w:sectPr>
      </w:pPr>
    </w:p>
    <w:p>
      <w:pPr>
        <w:ind w:left="20"/>
        <w:spacing w:after="0"/>
        <w:rPr>
          <w:sz w:val="20"/>
          <w:szCs w:val="20"/>
          <w:color w:val="auto"/>
        </w:rPr>
      </w:pPr>
      <w:r>
        <w:rPr>
          <w:rFonts w:ascii="Arial" w:cs="Arial" w:eastAsia="Arial" w:hAnsi="Arial"/>
          <w:sz w:val="16"/>
          <w:szCs w:val="16"/>
          <w:u w:val="single" w:color="auto"/>
          <w:color w:val="auto"/>
        </w:rPr>
        <w:t>Swingline Loans to be made on [date] as follows: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Swingline Loans requested:</w:t>
      </w:r>
    </w:p>
    <w:p>
      <w:pPr>
        <w:sectPr>
          <w:pgSz w:w="11900" w:h="16838" w:orient="portrait"/>
          <w:cols w:equalWidth="0" w:num="1">
            <w:col w:w="11240"/>
          </w:cols>
          <w:pgMar w:left="420" w:top="714" w:right="239" w:bottom="1440" w:gutter="0" w:footer="0" w:header="0"/>
          <w:type w:val="continuous"/>
        </w:sectPr>
      </w:pPr>
    </w:p>
    <w:p>
      <w:pPr>
        <w:spacing w:after="0" w:line="23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Total Amount of Swingline Loans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3780" w:space="180"/>
            <w:col w:w="7280"/>
          </w:cols>
          <w:pgMar w:left="420" w:top="714" w:right="239" w:bottom="1440" w:gutter="0" w:footer="0" w:header="0"/>
          <w:type w:val="continuous"/>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SWINGLINE LOANS MUST BE IN A MINIMUM AGGREGATE AMOUNT OF $100,000 AND IN INTEGRAL MULTIPLES OF $50,000 IN EXCESS THEREOF.</w:t>
      </w:r>
    </w:p>
    <w:p>
      <w:pPr>
        <w:spacing w:after="0" w:line="184" w:lineRule="exact"/>
        <w:rPr>
          <w:sz w:val="20"/>
          <w:szCs w:val="20"/>
          <w:color w:val="auto"/>
        </w:rPr>
      </w:pPr>
    </w:p>
    <w:p>
      <w:pPr>
        <w:sectPr>
          <w:pgSz w:w="11900" w:h="16838" w:orient="portrait"/>
          <w:cols w:equalWidth="0" w:num="2">
            <w:col w:w="600" w:space="720"/>
            <w:col w:w="9920"/>
          </w:cols>
          <w:pgMar w:left="420" w:top="714" w:right="239" w:bottom="1440" w:gutter="0" w:footer="0" w:header="0"/>
          <w:type w:val="continuous"/>
        </w:sectPr>
      </w:pPr>
    </w:p>
    <w:p>
      <w:pPr>
        <w:ind w:left="20" w:right="760" w:firstLine="648"/>
        <w:spacing w:after="0" w:line="277" w:lineRule="auto"/>
        <w:rPr>
          <w:sz w:val="20"/>
          <w:szCs w:val="20"/>
          <w:color w:val="auto"/>
        </w:rPr>
      </w:pPr>
      <w:r>
        <w:rPr>
          <w:rFonts w:ascii="Arial" w:cs="Arial" w:eastAsia="Arial" w:hAnsi="Arial"/>
          <w:sz w:val="18"/>
          <w:szCs w:val="18"/>
          <w:color w:val="auto"/>
        </w:rPr>
        <w:t>The undersigned hereby certifies that the following statements [are true on the date hereof and]6 will be true on the date of the Proposed Borrowing:</w:t>
      </w:r>
    </w:p>
    <w:p>
      <w:pPr>
        <w:spacing w:after="0" w:line="197" w:lineRule="exact"/>
        <w:rPr>
          <w:sz w:val="20"/>
          <w:szCs w:val="20"/>
          <w:color w:val="auto"/>
        </w:rPr>
      </w:pPr>
    </w:p>
    <w:p>
      <w:pPr>
        <w:jc w:val="both"/>
        <w:ind w:left="660" w:firstLine="654"/>
        <w:spacing w:after="0" w:line="302" w:lineRule="auto"/>
        <w:tabs>
          <w:tab w:leader="none" w:pos="195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the Credit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on and as of the date of the Proposed Borrowing with the same effect as if made on and as of such date (except for any such representation and warranty that by its terms is made only as of an earlier date, which representation and warranty remains true and correct in all material respects as of such earlier date, except for any representation and warranty that is qualified by materiality or reference to Material Adverse Effect, which such representation and warranty is true and correct in all respects as of such earlier date).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6Delete for Initial Term Loan.</w:t>
      </w:r>
    </w:p>
    <w:p>
      <w:pPr>
        <w:spacing w:after="0" w:line="252" w:lineRule="exact"/>
        <w:rPr>
          <w:sz w:val="20"/>
          <w:szCs w:val="20"/>
          <w:color w:val="auto"/>
        </w:rPr>
      </w:pPr>
    </w:p>
    <w:p>
      <w:pPr>
        <w:jc w:val="both"/>
        <w:ind w:left="560" w:right="20" w:firstLine="646"/>
        <w:spacing w:after="0" w:line="311" w:lineRule="auto"/>
        <w:tabs>
          <w:tab w:leader="none" w:pos="196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Proposed Borrowing or immediately after giving effect to the Proposed Borrowing unless such Default or Event of Default has been cured or waived in accordance with the Credit Agreement.</w:t>
      </w:r>
    </w:p>
    <w:p>
      <w:pPr>
        <w:spacing w:after="0" w:line="194" w:lineRule="exact"/>
        <w:rPr>
          <w:rFonts w:ascii="Arial" w:cs="Arial" w:eastAsia="Arial" w:hAnsi="Arial"/>
          <w:sz w:val="18"/>
          <w:szCs w:val="18"/>
          <w:color w:val="auto"/>
        </w:rPr>
      </w:pPr>
    </w:p>
    <w:p>
      <w:pPr>
        <w:jc w:val="both"/>
        <w:ind w:left="560" w:firstLine="646"/>
        <w:spacing w:after="0" w:line="306" w:lineRule="auto"/>
        <w:tabs>
          <w:tab w:leader="none" w:pos="197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Immediately after giving effect to the making of the Proposed Borrowing (and the application of the proceeds thereof), (i) the sum of the aggregate principal amount of outstanding Revolving Credit Loans plus outstanding Swingline Loans plus outstanding L/C Obligations does not exceed the Revolving Credit Commitment then in effect, (ii) the outstanding L/C Obligations do not exceed the L/C Commitment and (iii) the outstanding Swingline Loans shall not exceed the Swingline Commitment.</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420" w:top="714" w:right="239" w:bottom="1440" w:gutter="0" w:footer="0" w:header="0"/>
          <w:type w:val="continuous"/>
        </w:sectPr>
      </w:pPr>
    </w:p>
    <w:bookmarkStart w:id="184" w:name="page185"/>
    <w:bookmarkEnd w:id="184"/>
    <w:p>
      <w:pPr>
        <w:ind w:left="2060" w:hanging="754"/>
        <w:spacing w:after="0"/>
        <w:tabs>
          <w:tab w:leader="none" w:pos="20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All conditions set forth in Section [2.3(a)][4.2] of the Credit Agreement shall have been satisfied.</w:t>
      </w:r>
    </w:p>
    <w:p>
      <w:pPr>
        <w:spacing w:after="0" w:line="279" w:lineRule="exact"/>
        <w:rPr>
          <w:rFonts w:ascii="Arial" w:cs="Arial" w:eastAsia="Arial" w:hAnsi="Arial"/>
          <w:sz w:val="18"/>
          <w:szCs w:val="18"/>
          <w:color w:val="auto"/>
        </w:rPr>
      </w:pPr>
    </w:p>
    <w:p>
      <w:pPr>
        <w:ind w:left="2060" w:hanging="754"/>
        <w:spacing w:after="0"/>
        <w:tabs>
          <w:tab w:leader="none" w:pos="206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[If a Swingline Loan is requested] All conditions set forth in Section 2.2 of the Credit Agreement shall have been satisfied.</w:t>
      </w:r>
    </w:p>
    <w:p>
      <w:pPr>
        <w:spacing w:after="0" w:line="290" w:lineRule="exact"/>
        <w:rPr>
          <w:rFonts w:ascii="Arial" w:cs="Arial" w:eastAsia="Arial" w:hAnsi="Arial"/>
          <w:sz w:val="17"/>
          <w:szCs w:val="17"/>
          <w:color w:val="auto"/>
        </w:rPr>
      </w:pPr>
    </w:p>
    <w:p>
      <w:pPr>
        <w:ind w:left="660" w:right="20" w:firstLine="646"/>
        <w:spacing w:after="0" w:line="282" w:lineRule="auto"/>
        <w:tabs>
          <w:tab w:leader="none" w:pos="2062"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Letters of Credit.</w:t>
      </w:r>
      <w:r>
        <w:rPr>
          <w:rFonts w:ascii="Arial" w:cs="Arial" w:eastAsia="Arial" w:hAnsi="Arial"/>
          <w:sz w:val="18"/>
          <w:szCs w:val="18"/>
          <w:color w:val="auto"/>
        </w:rPr>
        <w:t xml:space="preserve"> If the issuance of a Letter of Credit is requested, (i) all conditions set forth in Section 3.1 shall have been satisfied and</w:t>
      </w:r>
    </w:p>
    <w:p>
      <w:pPr>
        <w:ind w:left="660" w:hanging="3"/>
        <w:spacing w:after="0" w:line="307" w:lineRule="auto"/>
        <w:tabs>
          <w:tab w:leader="none" w:pos="93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there shall exist no Revolving Credit Lender that is a Defaulting Lender unless the Issuing Lender has entered into satisfactory arrangements with the Borrower or such Defaulting Lender to eliminate the Issuing Lender’s risk with respect to such Defaulting Lender.</w:t>
      </w:r>
    </w:p>
    <w:p>
      <w:pPr>
        <w:spacing w:after="0" w:line="187" w:lineRule="exact"/>
        <w:rPr>
          <w:rFonts w:ascii="Arial" w:cs="Arial" w:eastAsia="Arial" w:hAnsi="Arial"/>
          <w:sz w:val="17"/>
          <w:szCs w:val="17"/>
          <w:color w:val="auto"/>
        </w:rPr>
      </w:pPr>
    </w:p>
    <w:p>
      <w:pPr>
        <w:jc w:val="both"/>
        <w:ind w:left="660" w:firstLine="646"/>
        <w:spacing w:after="0" w:line="306" w:lineRule="auto"/>
        <w:tabs>
          <w:tab w:leader="none" w:pos="2042"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Swingline Loans.</w:t>
      </w:r>
      <w:r>
        <w:rPr>
          <w:rFonts w:ascii="Arial" w:cs="Arial" w:eastAsia="Arial" w:hAnsi="Arial"/>
          <w:sz w:val="18"/>
          <w:szCs w:val="18"/>
          <w:color w:val="auto"/>
        </w:rPr>
        <w:t xml:space="preserve"> If a Swingline Loan is requested, (i) all conditions set forth in Section 2.2 shall have been satisfied and (ii) there shall exist no Revolving Credit Lender that is a Defaulting Lender unless the Swingline Lender has entered into satisfactory arrangements with the Borrower or such Defaulting Lender to eliminate the Swingline Lender’s risk with respect to such Defaulting Lender.</w:t>
      </w:r>
    </w:p>
    <w:p>
      <w:pPr>
        <w:spacing w:after="0" w:line="169"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[(h) [If an Incremental Loan is requested] All conditions set forth in Section 5.13 of the Credit Agreement shall have been satisfied.]</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This Notice of Borrowing may, upon execution, be delivered by facsimile or electronic mail, which shall be deemed for all purposes to be an original signature.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320" w:top="841" w:right="239" w:bottom="1440" w:gutter="0" w:footer="0" w:header="0"/>
        </w:sectPr>
      </w:pPr>
    </w:p>
    <w:bookmarkStart w:id="185" w:name="page186"/>
    <w:bookmarkEnd w:id="185"/>
    <w:p>
      <w:pPr>
        <w:jc w:val="right"/>
        <w:ind w:right="2179"/>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40"/>
        <w:spacing w:after="0"/>
        <w:tabs>
          <w:tab w:leader="none" w:pos="2960" w:val="left"/>
        </w:tabs>
        <w:rPr>
          <w:sz w:val="20"/>
          <w:szCs w:val="20"/>
          <w:color w:val="auto"/>
        </w:rPr>
      </w:pPr>
      <w:r>
        <w:rPr>
          <w:rFonts w:ascii="Arial" w:cs="Arial" w:eastAsia="Arial" w:hAnsi="Arial"/>
          <w:sz w:val="18"/>
          <w:szCs w:val="18"/>
          <w:color w:val="auto"/>
        </w:rPr>
        <w:t>By:</w:t>
        <w:tab/>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9019"/>
          </w:cols>
          <w:pgMar w:left="1440" w:top="634"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820" w:type="dxa"/>
            <w:vAlign w:val="bottom"/>
            <w:gridSpan w:val="6"/>
          </w:tcPr>
          <w:p>
            <w:pPr>
              <w:jc w:val="center"/>
              <w:ind w:right="3000"/>
              <w:spacing w:after="0"/>
              <w:rPr>
                <w:sz w:val="20"/>
                <w:szCs w:val="20"/>
                <w:color w:val="auto"/>
              </w:rPr>
            </w:pPr>
            <w:r>
              <w:rPr>
                <w:rFonts w:ascii="Arial" w:cs="Arial" w:eastAsia="Arial" w:hAnsi="Arial"/>
                <w:sz w:val="18"/>
                <w:szCs w:val="18"/>
                <w:b w:val="1"/>
                <w:bCs w:val="1"/>
                <w:color w:val="auto"/>
              </w:rPr>
              <w:t>EXHIBIT C</w:t>
            </w:r>
          </w:p>
        </w:tc>
      </w:tr>
      <w:tr>
        <w:trPr>
          <w:trHeight w:val="418"/>
        </w:trPr>
        <w:tc>
          <w:tcPr>
            <w:tcW w:w="6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20" w:type="dxa"/>
            <w:vAlign w:val="bottom"/>
            <w:gridSpan w:val="6"/>
          </w:tcPr>
          <w:p>
            <w:pPr>
              <w:ind w:left="1540"/>
              <w:spacing w:after="0"/>
              <w:rPr>
                <w:sz w:val="20"/>
                <w:szCs w:val="20"/>
                <w:color w:val="auto"/>
              </w:rPr>
            </w:pPr>
            <w:r>
              <w:rPr>
                <w:rFonts w:ascii="Arial" w:cs="Arial" w:eastAsia="Arial" w:hAnsi="Arial"/>
                <w:sz w:val="18"/>
                <w:szCs w:val="18"/>
                <w:color w:val="auto"/>
              </w:rPr>
              <w:t>[FORM OF]</w:t>
            </w:r>
          </w:p>
        </w:tc>
      </w:tr>
      <w:tr>
        <w:trPr>
          <w:trHeight w:val="190"/>
        </w:trPr>
        <w:tc>
          <w:tcPr>
            <w:tcW w:w="6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5820" w:type="dxa"/>
            <w:vAlign w:val="bottom"/>
            <w:gridSpan w:val="6"/>
          </w:tcPr>
          <w:p>
            <w:pPr>
              <w:jc w:val="center"/>
              <w:ind w:right="3000"/>
              <w:spacing w:after="0" w:line="190" w:lineRule="exact"/>
              <w:rPr>
                <w:sz w:val="20"/>
                <w:szCs w:val="20"/>
                <w:color w:val="auto"/>
              </w:rPr>
            </w:pPr>
            <w:r>
              <w:rPr>
                <w:rFonts w:ascii="Arial" w:cs="Arial" w:eastAsia="Arial" w:hAnsi="Arial"/>
                <w:sz w:val="18"/>
                <w:szCs w:val="18"/>
                <w:color w:val="auto"/>
                <w:w w:val="96"/>
              </w:rPr>
              <w:t>ACCOUNT DESIGNATION NOTICE</w:t>
            </w:r>
          </w:p>
        </w:tc>
      </w:tr>
      <w:tr>
        <w:trPr>
          <w:trHeight w:val="723"/>
        </w:trPr>
        <w:tc>
          <w:tcPr>
            <w:tcW w:w="5480" w:type="dxa"/>
            <w:vAlign w:val="bottom"/>
            <w:gridSpan w:val="2"/>
          </w:tcPr>
          <w:p>
            <w:pPr>
              <w:spacing w:after="0"/>
              <w:rPr>
                <w:sz w:val="20"/>
                <w:szCs w:val="20"/>
                <w:color w:val="auto"/>
              </w:rPr>
            </w:pPr>
            <w:r>
              <w:rPr>
                <w:rFonts w:ascii="Arial" w:cs="Arial" w:eastAsia="Arial" w:hAnsi="Arial"/>
                <w:sz w:val="18"/>
                <w:szCs w:val="18"/>
                <w:color w:val="auto"/>
                <w:w w:val="98"/>
              </w:rPr>
              <w:t>TO:  Wells Fargo Bank, National Association, as Administrative Agent</w:t>
            </w:r>
          </w:p>
        </w:tc>
        <w:tc>
          <w:tcPr>
            <w:tcW w:w="2820" w:type="dxa"/>
            <w:vAlign w:val="bottom"/>
            <w:tcBorders>
              <w:top w:val="single" w:sz="8" w:color="auto"/>
            </w:tcBorders>
            <w:gridSpan w:val="2"/>
          </w:tcPr>
          <w:p>
            <w:pPr>
              <w:spacing w:after="0"/>
              <w:rPr>
                <w:sz w:val="24"/>
                <w:szCs w:val="24"/>
                <w:color w:val="auto"/>
              </w:rPr>
            </w:pPr>
          </w:p>
        </w:tc>
        <w:tc>
          <w:tcPr>
            <w:tcW w:w="3000" w:type="dxa"/>
            <w:vAlign w:val="bottom"/>
            <w:gridSpan w:val="4"/>
          </w:tcPr>
          <w:p>
            <w:pPr>
              <w:spacing w:after="0"/>
              <w:rPr>
                <w:sz w:val="24"/>
                <w:szCs w:val="24"/>
                <w:color w:val="auto"/>
              </w:rPr>
            </w:pP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7"/>
          </w:tcPr>
          <w:p>
            <w:pPr>
              <w:ind w:left="70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0"/>
        </w:trPr>
        <w:tc>
          <w:tcPr>
            <w:tcW w:w="6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700" w:type="dxa"/>
            <w:vAlign w:val="bottom"/>
            <w:gridSpan w:val="7"/>
          </w:tcPr>
          <w:p>
            <w:pPr>
              <w:ind w:left="70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190"/>
        </w:trPr>
        <w:tc>
          <w:tcPr>
            <w:tcW w:w="600" w:type="dxa"/>
            <w:vAlign w:val="bottom"/>
          </w:tcPr>
          <w:p>
            <w:pPr>
              <w:spacing w:after="0"/>
              <w:rPr>
                <w:sz w:val="16"/>
                <w:szCs w:val="16"/>
                <w:color w:val="auto"/>
              </w:rPr>
            </w:pPr>
          </w:p>
        </w:tc>
        <w:tc>
          <w:tcPr>
            <w:tcW w:w="10700" w:type="dxa"/>
            <w:vAlign w:val="bottom"/>
            <w:gridSpan w:val="7"/>
          </w:tcPr>
          <w:p>
            <w:pPr>
              <w:ind w:left="700"/>
              <w:spacing w:after="0" w:line="190" w:lineRule="exact"/>
              <w:rPr>
                <w:sz w:val="20"/>
                <w:szCs w:val="20"/>
                <w:color w:val="auto"/>
              </w:rPr>
            </w:pPr>
            <w:r>
              <w:rPr>
                <w:rFonts w:ascii="Arial" w:cs="Arial" w:eastAsia="Arial" w:hAnsi="Arial"/>
                <w:sz w:val="18"/>
                <w:szCs w:val="18"/>
                <w:color w:val="auto"/>
                <w:w w:val="91"/>
              </w:rPr>
              <w:t>modified, extended, restated, replaced, or supplemented from time to time, the “Credit Agreement”; capitalized terms used herein and not</w:t>
            </w:r>
          </w:p>
        </w:tc>
      </w:tr>
      <w:tr>
        <w:trPr>
          <w:trHeight w:val="237"/>
        </w:trPr>
        <w:tc>
          <w:tcPr>
            <w:tcW w:w="600" w:type="dxa"/>
            <w:vAlign w:val="bottom"/>
          </w:tcPr>
          <w:p>
            <w:pPr>
              <w:spacing w:after="0"/>
              <w:rPr>
                <w:sz w:val="20"/>
                <w:szCs w:val="20"/>
                <w:color w:val="auto"/>
              </w:rPr>
            </w:pPr>
          </w:p>
        </w:tc>
        <w:tc>
          <w:tcPr>
            <w:tcW w:w="6520" w:type="dxa"/>
            <w:vAlign w:val="bottom"/>
            <w:gridSpan w:val="2"/>
          </w:tcPr>
          <w:p>
            <w:pPr>
              <w:ind w:left="700"/>
              <w:spacing w:after="0"/>
              <w:rPr>
                <w:sz w:val="20"/>
                <w:szCs w:val="20"/>
                <w:color w:val="auto"/>
              </w:rPr>
            </w:pPr>
            <w:r>
              <w:rPr>
                <w:rFonts w:ascii="Arial" w:cs="Arial" w:eastAsia="Arial" w:hAnsi="Arial"/>
                <w:sz w:val="18"/>
                <w:szCs w:val="18"/>
                <w:color w:val="auto"/>
                <w:w w:val="94"/>
              </w:rPr>
              <w:t>otherwise defined shall have the meanings set forth in the Credit Agreement)</w:t>
            </w:r>
          </w:p>
        </w:tc>
        <w:tc>
          <w:tcPr>
            <w:tcW w:w="1360" w:type="dxa"/>
            <w:vAlign w:val="bottom"/>
            <w:tcBorders>
              <w:top w:val="single" w:sz="8" w:color="auto"/>
            </w:tcBorders>
            <w:gridSpan w:val="2"/>
          </w:tcPr>
          <w:p>
            <w:pPr>
              <w:spacing w:after="0"/>
              <w:rPr>
                <w:sz w:val="20"/>
                <w:szCs w:val="20"/>
                <w:color w:val="auto"/>
              </w:rPr>
            </w:pPr>
          </w:p>
        </w:tc>
        <w:tc>
          <w:tcPr>
            <w:tcW w:w="2820" w:type="dxa"/>
            <w:vAlign w:val="bottom"/>
            <w:gridSpan w:val="3"/>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7"/>
          </w:tcPr>
          <w:p>
            <w:pPr>
              <w:ind w:left="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Administrative Agent is hereby authorized to disburse all Loan proceeds into the following account, unless the Borrower shall designate, in writing to the Administrative Agent, one or more other accounts:</w:t>
      </w:r>
    </w:p>
    <w:p>
      <w:pPr>
        <w:spacing w:after="0" w:line="184" w:lineRule="exact"/>
        <w:rPr>
          <w:sz w:val="20"/>
          <w:szCs w:val="20"/>
          <w:color w:val="auto"/>
        </w:rPr>
      </w:pPr>
    </w:p>
    <w:p>
      <w:pPr>
        <w:ind w:left="1940"/>
        <w:spacing w:after="0"/>
        <w:tabs>
          <w:tab w:leader="none" w:pos="3480" w:val="left"/>
          <w:tab w:leader="none" w:pos="5740" w:val="left"/>
          <w:tab w:leader="none" w:pos="7420" w:val="left"/>
        </w:tabs>
        <w:rPr>
          <w:sz w:val="20"/>
          <w:szCs w:val="20"/>
          <w:color w:val="auto"/>
        </w:rPr>
      </w:pPr>
      <w:r>
        <w:rPr>
          <w:rFonts w:ascii="Arial" w:cs="Arial" w:eastAsia="Arial" w:hAnsi="Arial"/>
          <w:sz w:val="18"/>
          <w:szCs w:val="18"/>
          <w:color w:val="auto"/>
        </w:rPr>
        <w:t>Bank Name: [</w:t>
      </w:r>
      <w:r>
        <w:rPr>
          <w:sz w:val="20"/>
          <w:szCs w:val="20"/>
          <w:color w:val="auto"/>
        </w:rPr>
        <w:tab/>
      </w:r>
      <w:r>
        <w:rPr>
          <w:rFonts w:ascii="Arial" w:cs="Arial" w:eastAsia="Arial" w:hAnsi="Arial"/>
          <w:sz w:val="18"/>
          <w:szCs w:val="18"/>
          <w:color w:val="auto"/>
        </w:rPr>
        <w:t>] ABA Routing Number: [</w:t>
      </w:r>
      <w:r>
        <w:rPr>
          <w:sz w:val="20"/>
          <w:szCs w:val="20"/>
          <w:color w:val="auto"/>
        </w:rPr>
        <w:tab/>
      </w:r>
      <w:r>
        <w:rPr>
          <w:rFonts w:ascii="Arial" w:cs="Arial" w:eastAsia="Arial" w:hAnsi="Arial"/>
          <w:sz w:val="18"/>
          <w:szCs w:val="18"/>
          <w:color w:val="auto"/>
        </w:rPr>
        <w:t>] Account Number: [</w:t>
        <w:tab/>
        <w:t>]</w:t>
      </w: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BE COMPLETED BY BORROWER]</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the foregoing, on the Closing Date, funds borrowed under the Credit Agreement shall be sent to the institutions and/or persons designated on payment instructions to be delivered separately.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Account Designation Notice may, upon execution, be delivered by facsimile or electronic mail, which shall be deemed for all purposes to be an original signature.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00"/>
          </w:cols>
          <w:pgMar w:left="360" w:top="621" w:right="239" w:bottom="1440" w:gutter="0" w:footer="0" w:header="0"/>
        </w:sectPr>
      </w:pPr>
    </w:p>
    <w:bookmarkStart w:id="187" w:name="page188"/>
    <w:bookmarkEnd w:id="187"/>
    <w:p>
      <w:pPr>
        <w:jc w:val="right"/>
        <w:ind w:right="2179"/>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40"/>
        <w:spacing w:after="0"/>
        <w:tabs>
          <w:tab w:leader="none" w:pos="2960" w:val="left"/>
        </w:tabs>
        <w:rPr>
          <w:sz w:val="20"/>
          <w:szCs w:val="20"/>
          <w:color w:val="auto"/>
        </w:rPr>
      </w:pPr>
      <w:r>
        <w:rPr>
          <w:rFonts w:ascii="Arial" w:cs="Arial" w:eastAsia="Arial" w:hAnsi="Arial"/>
          <w:sz w:val="18"/>
          <w:szCs w:val="18"/>
          <w:color w:val="auto"/>
        </w:rPr>
        <w:t>By:</w:t>
        <w:tab/>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9019"/>
          </w:cols>
          <w:pgMar w:left="1440" w:top="635"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20" w:type="dxa"/>
            <w:vAlign w:val="bottom"/>
            <w:gridSpan w:val="5"/>
          </w:tcPr>
          <w:p>
            <w:pPr>
              <w:ind w:left="640"/>
              <w:spacing w:after="0"/>
              <w:rPr>
                <w:sz w:val="20"/>
                <w:szCs w:val="20"/>
                <w:color w:val="auto"/>
              </w:rPr>
            </w:pPr>
            <w:r>
              <w:rPr>
                <w:rFonts w:ascii="Arial" w:cs="Arial" w:eastAsia="Arial" w:hAnsi="Arial"/>
                <w:sz w:val="18"/>
                <w:szCs w:val="18"/>
                <w:b w:val="1"/>
                <w:bCs w:val="1"/>
                <w:color w:val="auto"/>
              </w:rPr>
              <w:t>EXHIBIT D</w:t>
            </w:r>
          </w:p>
        </w:tc>
      </w:tr>
      <w:tr>
        <w:trPr>
          <w:trHeight w:val="418"/>
        </w:trPr>
        <w:tc>
          <w:tcPr>
            <w:tcW w:w="760" w:type="dxa"/>
            <w:vAlign w:val="bottom"/>
          </w:tcPr>
          <w:p>
            <w:pPr>
              <w:spacing w:after="0"/>
              <w:rPr>
                <w:sz w:val="24"/>
                <w:szCs w:val="24"/>
                <w:color w:val="auto"/>
              </w:rPr>
            </w:pPr>
          </w:p>
        </w:tc>
        <w:tc>
          <w:tcPr>
            <w:tcW w:w="10540" w:type="dxa"/>
            <w:vAlign w:val="bottom"/>
            <w:gridSpan w:val="7"/>
          </w:tcPr>
          <w:p>
            <w:pPr>
              <w:ind w:left="2880"/>
              <w:spacing w:after="0"/>
              <w:rPr>
                <w:sz w:val="20"/>
                <w:szCs w:val="20"/>
                <w:color w:val="auto"/>
              </w:rPr>
            </w:pPr>
            <w:r>
              <w:rPr>
                <w:rFonts w:ascii="Arial" w:cs="Arial" w:eastAsia="Arial" w:hAnsi="Arial"/>
                <w:sz w:val="18"/>
                <w:szCs w:val="18"/>
                <w:color w:val="auto"/>
              </w:rPr>
              <w:t>[FORM OF]</w:t>
            </w:r>
          </w:p>
        </w:tc>
      </w:tr>
      <w:tr>
        <w:trPr>
          <w:trHeight w:val="190"/>
        </w:trPr>
        <w:tc>
          <w:tcPr>
            <w:tcW w:w="760" w:type="dxa"/>
            <w:vAlign w:val="bottom"/>
          </w:tcPr>
          <w:p>
            <w:pPr>
              <w:spacing w:after="0"/>
              <w:rPr>
                <w:sz w:val="16"/>
                <w:szCs w:val="16"/>
                <w:color w:val="auto"/>
              </w:rPr>
            </w:pPr>
          </w:p>
        </w:tc>
        <w:tc>
          <w:tcPr>
            <w:tcW w:w="10540" w:type="dxa"/>
            <w:vAlign w:val="bottom"/>
            <w:gridSpan w:val="7"/>
          </w:tcPr>
          <w:p>
            <w:pPr>
              <w:ind w:left="2880"/>
              <w:spacing w:after="0" w:line="190" w:lineRule="exact"/>
              <w:rPr>
                <w:sz w:val="20"/>
                <w:szCs w:val="20"/>
                <w:color w:val="auto"/>
              </w:rPr>
            </w:pPr>
            <w:r>
              <w:rPr>
                <w:rFonts w:ascii="Arial" w:cs="Arial" w:eastAsia="Arial" w:hAnsi="Arial"/>
                <w:sz w:val="18"/>
                <w:szCs w:val="18"/>
                <w:color w:val="auto"/>
              </w:rPr>
              <w:t>NOTICE OF PREPAYMENT</w:t>
            </w:r>
          </w:p>
        </w:tc>
      </w:tr>
      <w:tr>
        <w:trPr>
          <w:trHeight w:val="723"/>
        </w:trPr>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w w:val="91"/>
              </w:rPr>
              <w:t>[Date]</w:t>
            </w:r>
          </w:p>
        </w:tc>
      </w:tr>
      <w:tr>
        <w:trPr>
          <w:trHeight w:val="486"/>
        </w:trPr>
        <w:tc>
          <w:tcPr>
            <w:tcW w:w="11300" w:type="dxa"/>
            <w:vAlign w:val="bottom"/>
            <w:gridSpan w:val="8"/>
          </w:tcPr>
          <w:p>
            <w:pPr>
              <w:spacing w:after="0"/>
              <w:rPr>
                <w:sz w:val="20"/>
                <w:szCs w:val="20"/>
                <w:color w:val="auto"/>
              </w:rPr>
            </w:pPr>
            <w:r>
              <w:rPr>
                <w:rFonts w:ascii="Arial" w:cs="Arial" w:eastAsia="Arial" w:hAnsi="Arial"/>
                <w:sz w:val="18"/>
                <w:szCs w:val="18"/>
                <w:color w:val="auto"/>
              </w:rPr>
              <w:t>TO:  Wells Fargo Bank, National Association, as Administrative Agent</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Re:</w:t>
            </w:r>
          </w:p>
        </w:tc>
        <w:tc>
          <w:tcPr>
            <w:tcW w:w="10540" w:type="dxa"/>
            <w:vAlign w:val="bottom"/>
            <w:gridSpan w:val="7"/>
          </w:tcPr>
          <w:p>
            <w:pPr>
              <w:ind w:left="54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0"/>
        </w:trPr>
        <w:tc>
          <w:tcPr>
            <w:tcW w:w="760" w:type="dxa"/>
            <w:vAlign w:val="bottom"/>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10540" w:type="dxa"/>
            <w:vAlign w:val="bottom"/>
            <w:gridSpan w:val="7"/>
          </w:tcPr>
          <w:p>
            <w:pPr>
              <w:ind w:left="54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190"/>
        </w:trPr>
        <w:tc>
          <w:tcPr>
            <w:tcW w:w="760" w:type="dxa"/>
            <w:vAlign w:val="bottom"/>
          </w:tcPr>
          <w:p>
            <w:pPr>
              <w:spacing w:after="0"/>
              <w:rPr>
                <w:sz w:val="16"/>
                <w:szCs w:val="16"/>
                <w:color w:val="auto"/>
              </w:rPr>
            </w:pPr>
          </w:p>
        </w:tc>
        <w:tc>
          <w:tcPr>
            <w:tcW w:w="10540" w:type="dxa"/>
            <w:vAlign w:val="bottom"/>
            <w:gridSpan w:val="7"/>
          </w:tcPr>
          <w:p>
            <w:pPr>
              <w:ind w:left="540"/>
              <w:spacing w:after="0" w:line="190" w:lineRule="exact"/>
              <w:rPr>
                <w:sz w:val="20"/>
                <w:szCs w:val="20"/>
                <w:color w:val="auto"/>
              </w:rPr>
            </w:pPr>
            <w:r>
              <w:rPr>
                <w:rFonts w:ascii="Arial" w:cs="Arial" w:eastAsia="Arial" w:hAnsi="Arial"/>
                <w:sz w:val="18"/>
                <w:szCs w:val="18"/>
                <w:color w:val="auto"/>
              </w:rPr>
              <w:t>modified, extended, restated, replaced, or supplemented from time to time, the “Credit Agreement”)</w:t>
            </w: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Reference is hereby made to the Credit Agreement. Capitalized terms not defined herein shall have the meanings ascribed thereto in the Credit Agreement.</w:t>
      </w:r>
    </w:p>
    <w:p>
      <w:pPr>
        <w:spacing w:after="0" w:line="18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letter shall constitute written notice to the Lender pursuant to [Section 2.4(c)] [and][Section 4.5] of the Credit Agreement of the Borrower’s intent to prepay the [Revolving Credit Loan][,/and][Swingline Loan][,/and][Term Loan] listed below in the amount corresponding to such Loan[s] on or about the corresponding date listed below (the “</w:t>
      </w:r>
      <w:r>
        <w:rPr>
          <w:rFonts w:ascii="Arial" w:cs="Arial" w:eastAsia="Arial" w:hAnsi="Arial"/>
          <w:sz w:val="18"/>
          <w:szCs w:val="18"/>
          <w:u w:val="single" w:color="auto"/>
          <w:color w:val="auto"/>
        </w:rPr>
        <w:t>Scheduled Prepayment Date”</w:t>
      </w:r>
      <w:r>
        <w:rPr>
          <w:rFonts w:ascii="Arial" w:cs="Arial" w:eastAsia="Arial" w:hAnsi="Arial"/>
          <w:sz w:val="18"/>
          <w:szCs w:val="18"/>
          <w:color w:val="auto"/>
        </w:rPr>
        <w:t>).</w:t>
      </w:r>
    </w:p>
    <w:p>
      <w:pPr>
        <w:spacing w:after="0" w:line="324" w:lineRule="exact"/>
        <w:rPr>
          <w:sz w:val="20"/>
          <w:szCs w:val="20"/>
          <w:color w:val="auto"/>
        </w:rPr>
      </w:pPr>
    </w:p>
    <w:tbl>
      <w:tblPr>
        <w:tblLayout w:type="fixed"/>
        <w:tblInd w:w="1510" w:type="dxa"/>
        <w:tblCellMar>
          <w:top w:w="0" w:type="dxa"/>
          <w:left w:w="0" w:type="dxa"/>
          <w:bottom w:w="0" w:type="dxa"/>
          <w:right w:w="0" w:type="dxa"/>
        </w:tblCellMar>
      </w:tblPr>
      <w:tr>
        <w:trPr>
          <w:trHeight w:val="242"/>
        </w:trPr>
        <w:tc>
          <w:tcPr>
            <w:tcW w:w="2340" w:type="dxa"/>
            <w:vAlign w:val="bottom"/>
            <w:tcBorders>
              <w:top w:val="single" w:sz="8" w:color="auto"/>
              <w:left w:val="single" w:sz="8" w:color="auto"/>
              <w:right w:val="single" w:sz="8" w:color="auto"/>
            </w:tcBorders>
          </w:tcPr>
          <w:p>
            <w:pPr>
              <w:spacing w:after="0"/>
              <w:rPr>
                <w:sz w:val="21"/>
                <w:szCs w:val="21"/>
                <w:color w:val="auto"/>
              </w:rPr>
            </w:pPr>
          </w:p>
        </w:tc>
        <w:tc>
          <w:tcPr>
            <w:tcW w:w="178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left="370"/>
              <w:spacing w:after="0"/>
              <w:rPr>
                <w:sz w:val="20"/>
                <w:szCs w:val="20"/>
                <w:color w:val="auto"/>
              </w:rPr>
            </w:pPr>
            <w:r>
              <w:rPr>
                <w:rFonts w:ascii="Arial" w:cs="Arial" w:eastAsia="Arial" w:hAnsi="Arial"/>
                <w:sz w:val="18"/>
                <w:szCs w:val="18"/>
                <w:color w:val="auto"/>
                <w:w w:val="89"/>
              </w:rPr>
              <w:t>Interest</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ind w:left="370"/>
              <w:spacing w:after="0"/>
              <w:rPr>
                <w:sz w:val="20"/>
                <w:szCs w:val="20"/>
                <w:color w:val="auto"/>
              </w:rPr>
            </w:pPr>
            <w:r>
              <w:rPr>
                <w:rFonts w:ascii="Arial" w:cs="Arial" w:eastAsia="Arial" w:hAnsi="Arial"/>
                <w:sz w:val="18"/>
                <w:szCs w:val="18"/>
                <w:color w:val="auto"/>
                <w:w w:val="89"/>
              </w:rPr>
              <w:t>Rate</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5"/>
              </w:rPr>
              <w:t>Type of Loan (Initial Term Loan/</w:t>
            </w:r>
          </w:p>
        </w:tc>
        <w:tc>
          <w:tcPr>
            <w:tcW w:w="1240" w:type="dxa"/>
            <w:vAlign w:val="bottom"/>
            <w:tcBorders>
              <w:right w:val="single" w:sz="8" w:color="auto"/>
            </w:tcBorders>
          </w:tcPr>
          <w:p>
            <w:pPr>
              <w:jc w:val="center"/>
              <w:ind w:left="110"/>
              <w:spacing w:after="0"/>
              <w:rPr>
                <w:sz w:val="20"/>
                <w:szCs w:val="20"/>
                <w:color w:val="auto"/>
              </w:rPr>
            </w:pPr>
            <w:r>
              <w:rPr>
                <w:rFonts w:ascii="Arial" w:cs="Arial" w:eastAsia="Arial" w:hAnsi="Arial"/>
                <w:sz w:val="18"/>
                <w:szCs w:val="18"/>
                <w:color w:val="auto"/>
                <w:w w:val="88"/>
              </w:rPr>
              <w:t>(Base Rate/</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Incremental Term Loan/ Revolving</w:t>
            </w:r>
          </w:p>
        </w:tc>
        <w:tc>
          <w:tcPr>
            <w:tcW w:w="124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color w:val="auto"/>
                <w:w w:val="99"/>
              </w:rPr>
              <w:t>LIBOR</w:t>
            </w:r>
          </w:p>
        </w:tc>
      </w:tr>
      <w:tr>
        <w:trPr>
          <w:trHeight w:val="230"/>
        </w:trPr>
        <w:tc>
          <w:tcPr>
            <w:tcW w:w="2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Scheduled Prepayment Date</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86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Credit Loan/ Swingline Loan)</w:t>
            </w:r>
          </w:p>
        </w:tc>
        <w:tc>
          <w:tcPr>
            <w:tcW w:w="1240" w:type="dxa"/>
            <w:vAlign w:val="bottom"/>
            <w:tcBorders>
              <w:right w:val="single" w:sz="8" w:color="auto"/>
            </w:tcBorders>
          </w:tcPr>
          <w:p>
            <w:pPr>
              <w:jc w:val="center"/>
              <w:ind w:left="110"/>
              <w:spacing w:after="0"/>
              <w:rPr>
                <w:sz w:val="20"/>
                <w:szCs w:val="20"/>
                <w:color w:val="auto"/>
              </w:rPr>
            </w:pPr>
            <w:r>
              <w:rPr>
                <w:rFonts w:ascii="Arial" w:cs="Arial" w:eastAsia="Arial" w:hAnsi="Arial"/>
                <w:sz w:val="18"/>
                <w:szCs w:val="18"/>
                <w:color w:val="auto"/>
                <w:w w:val="90"/>
              </w:rPr>
              <w:t>Rate)</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318"/>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r>
        <w:trPr>
          <w:trHeight w:val="318"/>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r>
        <w:trPr>
          <w:trHeight w:val="318"/>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bl>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7"/>
          <w:szCs w:val="17"/>
          <w:color w:val="auto"/>
        </w:rPr>
        <w:t>PARTIAL PREPAYMENTS SHALL BE IN AN AGGREGATE AMOUNT OF</w:t>
      </w:r>
    </w:p>
    <w:p>
      <w:pPr>
        <w:spacing w:after="0" w:line="23" w:lineRule="exact"/>
        <w:rPr>
          <w:sz w:val="20"/>
          <w:szCs w:val="20"/>
          <w:color w:val="auto"/>
        </w:rPr>
      </w:pPr>
    </w:p>
    <w:p>
      <w:pPr>
        <w:jc w:val="both"/>
        <w:ind w:left="1300" w:hanging="7"/>
        <w:spacing w:after="0" w:line="252" w:lineRule="auto"/>
        <w:tabs>
          <w:tab w:leader="none" w:pos="162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$3,000,000 OR A WHOLE MULTIPLE OF $1,000,000 IN EXCESS THEREOF WITH RESPECT TO REVOLVING CREDIT LOANS THAT ARE BASE RATE LOANS (OTHER THAN SWINGLINE LOANS), (B) $5,000,000 OR A WHOLE MULTIPLE OF $1,000,000 IN EXCESS THEREOF WITH RESPECT TO REVOLVING CREDIT LOANS THAT ARE LIBOR RATE LOANS, (C) $500,000 OR A WHOLE MULTIPLE OF $100,000 IN EXCESS THEREOF WITH RESPECT TO SWINGLINE LOANS AND (D) $5,000,000 OR ANY WHOLE MULTIPLE OF $1,000,000 IN EXCESS THEREOF WITH RESPECT TO OPTIONAL PREPAYMENTS OF TERM LOANS.</w:t>
      </w:r>
    </w:p>
    <w:p>
      <w:pPr>
        <w:spacing w:after="0" w:line="200" w:lineRule="exact"/>
        <w:rPr>
          <w:sz w:val="20"/>
          <w:szCs w:val="20"/>
          <w:color w:val="auto"/>
        </w:rPr>
      </w:pPr>
    </w:p>
    <w:p>
      <w:pPr>
        <w:spacing w:after="0" w:line="26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letter is delivered in connection with a refinancing or incurrence of Indebtedness, the proceeds of which shall be used to prepay all outstanding Obligations under the Credit Facility. and is consequently contingent upon the consummation of such refinancing or incurrence and may be revoked by the Borrower in the event such refinancing or incurrence is not consummated. The Borrower will forward to you draft release documents to be reviewed in connection with the release of the Collateral.]7</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Notwithstanding the foregoing, this letter shall not be construed as a waiver of any rights of the Borrower or any of the other Credit Parties under the Credit Agreement and the other Loan Documents.</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00"/>
          </w:cols>
          <w:pgMar w:left="360" w:top="621" w:right="239" w:bottom="1440" w:gutter="0" w:footer="0" w:header="0"/>
        </w:sectPr>
      </w:pPr>
    </w:p>
    <w:bookmarkStart w:id="189" w:name="page190"/>
    <w:bookmarkEnd w:id="189"/>
    <w:p>
      <w:pPr>
        <w:ind w:left="340"/>
        <w:spacing w:after="0"/>
        <w:rPr>
          <w:sz w:val="20"/>
          <w:szCs w:val="20"/>
          <w:color w:val="auto"/>
        </w:rPr>
      </w:pPr>
      <w:r>
        <w:rPr>
          <w:rFonts w:ascii="Arial" w:cs="Arial" w:eastAsia="Arial" w:hAnsi="Arial"/>
          <w:sz w:val="17"/>
          <w:szCs w:val="17"/>
          <w:color w:val="auto"/>
        </w:rPr>
        <w:t>[REMAINDER OF PAGE INTENTIONALLY LEFT BLANK]</w:t>
      </w:r>
    </w:p>
    <w:p>
      <w:pPr>
        <w:sectPr>
          <w:pgSz w:w="11900" w:h="16838" w:orient="portrait"/>
          <w:cols w:equalWidth="0" w:num="1">
            <w:col w:w="9019"/>
          </w:cols>
          <w:pgMar w:left="1440" w:top="12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9019"/>
          </w:cols>
          <w:pgMar w:left="1440" w:top="1233" w:right="1440" w:bottom="1440" w:gutter="0" w:footer="0" w:header="0"/>
          <w:type w:val="continuous"/>
        </w:sectPr>
      </w:pPr>
    </w:p>
    <w:bookmarkStart w:id="190" w:name="page191"/>
    <w:bookmarkEnd w:id="190"/>
    <w:p>
      <w:pPr>
        <w:jc w:val="right"/>
        <w:ind w:right="2179"/>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40"/>
        <w:spacing w:after="0"/>
        <w:tabs>
          <w:tab w:leader="none" w:pos="2960" w:val="left"/>
        </w:tabs>
        <w:rPr>
          <w:sz w:val="20"/>
          <w:szCs w:val="20"/>
          <w:color w:val="auto"/>
        </w:rPr>
      </w:pPr>
      <w:r>
        <w:rPr>
          <w:rFonts w:ascii="Arial" w:cs="Arial" w:eastAsia="Arial" w:hAnsi="Arial"/>
          <w:sz w:val="18"/>
          <w:szCs w:val="18"/>
          <w:color w:val="auto"/>
        </w:rPr>
        <w:t>By:</w:t>
        <w:tab/>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9019"/>
          </w:cols>
          <w:pgMar w:left="1440" w:top="580" w:right="1440" w:bottom="1440" w:gutter="0" w:footer="0" w:header="0"/>
        </w:sectPr>
      </w:pPr>
    </w:p>
    <w:bookmarkStart w:id="191" w:name="page192"/>
    <w:bookmarkEnd w:id="191"/>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80" w:type="dxa"/>
            <w:vAlign w:val="bottom"/>
            <w:gridSpan w:val="10"/>
          </w:tcPr>
          <w:p>
            <w:pPr>
              <w:ind w:left="820"/>
              <w:spacing w:after="0"/>
              <w:rPr>
                <w:sz w:val="20"/>
                <w:szCs w:val="20"/>
                <w:color w:val="auto"/>
              </w:rPr>
            </w:pPr>
            <w:r>
              <w:rPr>
                <w:rFonts w:ascii="Arial" w:cs="Arial" w:eastAsia="Arial" w:hAnsi="Arial"/>
                <w:sz w:val="18"/>
                <w:szCs w:val="18"/>
                <w:b w:val="1"/>
                <w:bCs w:val="1"/>
                <w:color w:val="auto"/>
              </w:rPr>
              <w:t>EXHIBIT E</w:t>
            </w:r>
          </w:p>
        </w:tc>
      </w:tr>
      <w:tr>
        <w:trPr>
          <w:trHeight w:val="418"/>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ind w:left="260"/>
              <w:spacing w:after="0"/>
              <w:rPr>
                <w:sz w:val="20"/>
                <w:szCs w:val="20"/>
                <w:color w:val="auto"/>
              </w:rPr>
            </w:pPr>
            <w:r>
              <w:rPr>
                <w:rFonts w:ascii="Arial" w:cs="Arial" w:eastAsia="Arial" w:hAnsi="Arial"/>
                <w:sz w:val="18"/>
                <w:szCs w:val="18"/>
                <w:color w:val="auto"/>
              </w:rPr>
              <w:t>[FORM OF]</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0"/>
        </w:trPr>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00" w:type="dxa"/>
            <w:vAlign w:val="bottom"/>
            <w:gridSpan w:val="6"/>
          </w:tcPr>
          <w:p>
            <w:pPr>
              <w:jc w:val="right"/>
              <w:ind w:right="160"/>
              <w:spacing w:after="0" w:line="190" w:lineRule="exact"/>
              <w:rPr>
                <w:sz w:val="20"/>
                <w:szCs w:val="20"/>
                <w:color w:val="auto"/>
              </w:rPr>
            </w:pPr>
            <w:r>
              <w:rPr>
                <w:rFonts w:ascii="Arial" w:cs="Arial" w:eastAsia="Arial" w:hAnsi="Arial"/>
                <w:sz w:val="18"/>
                <w:szCs w:val="18"/>
                <w:color w:val="auto"/>
                <w:w w:val="96"/>
              </w:rPr>
              <w:t>NOTICE OF CONVERSION/CONTINUATION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
        </w:trPr>
        <w:tc>
          <w:tcPr>
            <w:tcW w:w="30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723"/>
        </w:trPr>
        <w:tc>
          <w:tcPr>
            <w:tcW w:w="6140" w:type="dxa"/>
            <w:vAlign w:val="bottom"/>
            <w:gridSpan w:val="9"/>
          </w:tcPr>
          <w:p>
            <w:pPr>
              <w:spacing w:after="0"/>
              <w:rPr>
                <w:sz w:val="20"/>
                <w:szCs w:val="20"/>
                <w:color w:val="auto"/>
              </w:rPr>
            </w:pPr>
            <w:r>
              <w:rPr>
                <w:rFonts w:ascii="Arial" w:cs="Arial" w:eastAsia="Arial" w:hAnsi="Arial"/>
                <w:sz w:val="18"/>
                <w:szCs w:val="18"/>
                <w:color w:val="auto"/>
              </w:rPr>
              <w:t>TO:  Wells Fargo Bank, National Association, as Administrative Agent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580" w:type="dxa"/>
            <w:vAlign w:val="bottom"/>
          </w:tcPr>
          <w:p>
            <w:pPr>
              <w:spacing w:after="0"/>
              <w:rPr>
                <w:sz w:val="20"/>
                <w:szCs w:val="20"/>
                <w:color w:val="auto"/>
              </w:rPr>
            </w:pPr>
            <w:r>
              <w:rPr>
                <w:rFonts w:ascii="Arial" w:cs="Arial" w:eastAsia="Arial" w:hAnsi="Arial"/>
                <w:sz w:val="18"/>
                <w:szCs w:val="18"/>
                <w:color w:val="auto"/>
              </w:rPr>
              <w:t>RE:</w:t>
            </w:r>
          </w:p>
        </w:tc>
        <w:tc>
          <w:tcPr>
            <w:tcW w:w="680" w:type="dxa"/>
            <w:vAlign w:val="bottom"/>
          </w:tcPr>
          <w:p>
            <w:pPr>
              <w:spacing w:after="0"/>
              <w:rPr>
                <w:sz w:val="24"/>
                <w:szCs w:val="24"/>
                <w:color w:val="auto"/>
              </w:rPr>
            </w:pPr>
          </w:p>
        </w:tc>
        <w:tc>
          <w:tcPr>
            <w:tcW w:w="9960" w:type="dxa"/>
            <w:vAlign w:val="bottom"/>
            <w:gridSpan w:val="17"/>
          </w:tcPr>
          <w:p>
            <w:pPr>
              <w:ind w:left="40"/>
              <w:spacing w:after="0"/>
              <w:rPr>
                <w:sz w:val="20"/>
                <w:szCs w:val="20"/>
                <w:color w:val="auto"/>
              </w:rPr>
            </w:pPr>
            <w:r>
              <w:rPr>
                <w:rFonts w:ascii="Arial" w:cs="Arial" w:eastAsia="Arial" w:hAnsi="Arial"/>
                <w:sz w:val="18"/>
                <w:szCs w:val="18"/>
                <w:color w:val="auto"/>
                <w:w w:val="93"/>
              </w:rPr>
              <w:t>Credit Agreement, dated as of August 19, 2014, by and among ABRH, LLC, a Delaware limited liability company (the “Borrower”), the</w:t>
            </w:r>
          </w:p>
        </w:tc>
      </w:tr>
      <w:tr>
        <w:trPr>
          <w:trHeight w:val="20"/>
        </w:trPr>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17"/>
          </w:tcPr>
          <w:p>
            <w:pPr>
              <w:ind w:left="40"/>
              <w:spacing w:after="0"/>
              <w:rPr>
                <w:sz w:val="20"/>
                <w:szCs w:val="20"/>
                <w:color w:val="auto"/>
              </w:rPr>
            </w:pPr>
            <w:r>
              <w:rPr>
                <w:rFonts w:ascii="Arial" w:cs="Arial" w:eastAsia="Arial" w:hAnsi="Arial"/>
                <w:sz w:val="18"/>
                <w:szCs w:val="18"/>
                <w:color w:val="auto"/>
                <w:w w:val="93"/>
              </w:rPr>
              <w:t>other Credit Parties, the Lenders and Wells Fargo Bank, National Association, as Administrative Agent for the Lenders (as amended,</w:t>
            </w:r>
          </w:p>
        </w:tc>
      </w:tr>
      <w:tr>
        <w:trPr>
          <w:trHeight w:val="190"/>
        </w:trPr>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960" w:type="dxa"/>
            <w:vAlign w:val="bottom"/>
            <w:gridSpan w:val="17"/>
          </w:tcPr>
          <w:p>
            <w:pPr>
              <w:ind w:left="40"/>
              <w:spacing w:after="0" w:line="190" w:lineRule="exact"/>
              <w:rPr>
                <w:sz w:val="20"/>
                <w:szCs w:val="20"/>
                <w:color w:val="auto"/>
              </w:rPr>
            </w:pPr>
            <w:r>
              <w:rPr>
                <w:rFonts w:ascii="Arial" w:cs="Arial" w:eastAsia="Arial" w:hAnsi="Arial"/>
                <w:sz w:val="18"/>
                <w:szCs w:val="18"/>
                <w:color w:val="auto"/>
                <w:w w:val="90"/>
              </w:rPr>
              <w:t>modified, extended, restated, replaced, or supplemented from time to time, the “Credit Agreement”; capitalized terms used herein and not</w:t>
            </w:r>
          </w:p>
        </w:tc>
      </w:tr>
      <w:tr>
        <w:trPr>
          <w:trHeight w:val="237"/>
        </w:trPr>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8"/>
          </w:tcPr>
          <w:p>
            <w:pPr>
              <w:ind w:left="40"/>
              <w:spacing w:after="0"/>
              <w:rPr>
                <w:sz w:val="20"/>
                <w:szCs w:val="20"/>
                <w:color w:val="auto"/>
              </w:rPr>
            </w:pPr>
            <w:r>
              <w:rPr>
                <w:rFonts w:ascii="Arial" w:cs="Arial" w:eastAsia="Arial" w:hAnsi="Arial"/>
                <w:sz w:val="18"/>
                <w:szCs w:val="18"/>
                <w:color w:val="auto"/>
                <w:w w:val="93"/>
              </w:rPr>
              <w:t>otherwise defined shall have the meanings set forth in the Credit Agreement)</w:t>
            </w:r>
          </w:p>
        </w:tc>
        <w:tc>
          <w:tcPr>
            <w:tcW w:w="380" w:type="dxa"/>
            <w:vAlign w:val="bottom"/>
            <w:tcBorders>
              <w:top w:val="single" w:sz="8" w:color="auto"/>
            </w:tcBorders>
            <w:gridSpan w:val="2"/>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[Date]</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62"/>
        </w:trPr>
        <w:tc>
          <w:tcPr>
            <w:tcW w:w="580" w:type="dxa"/>
            <w:vAlign w:val="bottom"/>
          </w:tcPr>
          <w:p>
            <w:pPr>
              <w:spacing w:after="0"/>
              <w:rPr>
                <w:sz w:val="24"/>
                <w:szCs w:val="24"/>
                <w:color w:val="auto"/>
              </w:rPr>
            </w:pPr>
          </w:p>
        </w:tc>
        <w:tc>
          <w:tcPr>
            <w:tcW w:w="10640" w:type="dxa"/>
            <w:vAlign w:val="bottom"/>
            <w:gridSpan w:val="18"/>
          </w:tcPr>
          <w:p>
            <w:pPr>
              <w:ind w:left="60"/>
              <w:spacing w:after="0"/>
              <w:rPr>
                <w:sz w:val="20"/>
                <w:szCs w:val="20"/>
                <w:color w:val="auto"/>
              </w:rPr>
            </w:pPr>
            <w:r>
              <w:rPr>
                <w:rFonts w:ascii="Arial" w:cs="Arial" w:eastAsia="Arial" w:hAnsi="Arial"/>
                <w:sz w:val="18"/>
                <w:szCs w:val="18"/>
                <w:color w:val="auto"/>
                <w:w w:val="93"/>
              </w:rPr>
              <w:t>Pursuant to Section 5.2 of the Credit Agreement, the Borrower hereby requests conversion (the “Proposed Conversion”) or  continuation of the</w:t>
            </w:r>
          </w:p>
        </w:tc>
      </w:tr>
      <w:tr>
        <w:trPr>
          <w:trHeight w:val="196"/>
        </w:trPr>
        <w:tc>
          <w:tcPr>
            <w:tcW w:w="6140" w:type="dxa"/>
            <w:vAlign w:val="bottom"/>
            <w:gridSpan w:val="9"/>
          </w:tcPr>
          <w:p>
            <w:pPr>
              <w:spacing w:after="0" w:line="196" w:lineRule="exact"/>
              <w:rPr>
                <w:sz w:val="20"/>
                <w:szCs w:val="20"/>
                <w:color w:val="auto"/>
              </w:rPr>
            </w:pPr>
            <w:r>
              <w:rPr>
                <w:rFonts w:ascii="Arial" w:cs="Arial" w:eastAsia="Arial" w:hAnsi="Arial"/>
                <w:sz w:val="18"/>
                <w:szCs w:val="18"/>
                <w:color w:val="auto"/>
              </w:rPr>
              <w:t>following Loans be made as follows (the “Proposed Continuation”):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85"/>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Requested</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8"/>
                <w:szCs w:val="18"/>
                <w:color w:val="auto"/>
              </w:rPr>
            </w:pPr>
          </w:p>
        </w:tc>
        <w:tc>
          <w:tcPr>
            <w:tcW w:w="22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8"/>
              </w:rPr>
              <w:t>Requested Interest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Current</w:t>
            </w:r>
          </w:p>
        </w:tc>
        <w:tc>
          <w:tcPr>
            <w:tcW w:w="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18"/>
                <w:szCs w:val="18"/>
                <w:color w:val="auto"/>
              </w:rPr>
            </w:pPr>
          </w:p>
        </w:tc>
        <w:tc>
          <w:tcPr>
            <w:tcW w:w="2200" w:type="dxa"/>
            <w:vAlign w:val="bottom"/>
            <w:tcBorders>
              <w:right w:val="single" w:sz="8" w:color="auto"/>
            </w:tcBorders>
            <w:gridSpan w:val="3"/>
          </w:tcPr>
          <w:p>
            <w:pPr>
              <w:ind w:left="700"/>
              <w:spacing w:after="0"/>
              <w:rPr>
                <w:sz w:val="20"/>
                <w:szCs w:val="20"/>
                <w:color w:val="auto"/>
              </w:rPr>
            </w:pPr>
            <w:r>
              <w:rPr>
                <w:rFonts w:ascii="Arial" w:cs="Arial" w:eastAsia="Arial" w:hAnsi="Arial"/>
                <w:sz w:val="18"/>
                <w:szCs w:val="18"/>
                <w:color w:val="auto"/>
                <w:w w:val="97"/>
              </w:rPr>
              <w:t>Period (one, three,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Applicable</w:t>
            </w:r>
          </w:p>
        </w:tc>
        <w:tc>
          <w:tcPr>
            <w:tcW w:w="1580" w:type="dxa"/>
            <w:vAlign w:val="bottom"/>
            <w:tcBorders>
              <w:righ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88"/>
              </w:rPr>
              <w:t>Interest Rate and</w:t>
            </w:r>
          </w:p>
        </w:tc>
        <w:tc>
          <w:tcPr>
            <w:tcW w:w="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Amount to be</w:t>
            </w:r>
          </w:p>
        </w:tc>
        <w:tc>
          <w:tcPr>
            <w:tcW w:w="13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(Base Rate/</w:t>
            </w:r>
          </w:p>
        </w:tc>
        <w:tc>
          <w:tcPr>
            <w:tcW w:w="180" w:type="dxa"/>
            <w:vAlign w:val="bottom"/>
          </w:tcPr>
          <w:p>
            <w:pPr>
              <w:spacing w:after="0"/>
              <w:rPr>
                <w:sz w:val="18"/>
                <w:szCs w:val="18"/>
                <w:color w:val="auto"/>
              </w:rPr>
            </w:pPr>
          </w:p>
        </w:tc>
        <w:tc>
          <w:tcPr>
            <w:tcW w:w="220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six or twelve8 months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Loan</w:t>
            </w:r>
          </w:p>
        </w:tc>
        <w:tc>
          <w:tcPr>
            <w:tcW w:w="1580" w:type="dxa"/>
            <w:vAlign w:val="bottom"/>
            <w:tcBorders>
              <w:right w:val="single" w:sz="8" w:color="auto"/>
            </w:tcBorders>
            <w:gridSpan w:val="2"/>
          </w:tcPr>
          <w:p>
            <w:pPr>
              <w:jc w:val="center"/>
              <w:ind w:left="90"/>
              <w:spacing w:after="0"/>
              <w:rPr>
                <w:sz w:val="20"/>
                <w:szCs w:val="20"/>
                <w:color w:val="auto"/>
              </w:rPr>
            </w:pPr>
            <w:r>
              <w:rPr>
                <w:rFonts w:ascii="Arial" w:cs="Arial" w:eastAsia="Arial" w:hAnsi="Arial"/>
                <w:sz w:val="18"/>
                <w:szCs w:val="18"/>
                <w:color w:val="auto"/>
                <w:w w:val="88"/>
              </w:rPr>
              <w:t>Interest Period</w:t>
            </w:r>
          </w:p>
        </w:tc>
        <w:tc>
          <w:tcPr>
            <w:tcW w:w="8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Date</w:t>
            </w:r>
          </w:p>
        </w:tc>
        <w:tc>
          <w:tcPr>
            <w:tcW w:w="15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converted/ extended</w:t>
            </w:r>
          </w:p>
        </w:tc>
        <w:tc>
          <w:tcPr>
            <w:tcW w:w="130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LIBOR Rate)</w:t>
            </w:r>
          </w:p>
        </w:tc>
        <w:tc>
          <w:tcPr>
            <w:tcW w:w="180" w:type="dxa"/>
            <w:vAlign w:val="bottom"/>
          </w:tcPr>
          <w:p>
            <w:pPr>
              <w:spacing w:after="0"/>
              <w:rPr>
                <w:sz w:val="20"/>
                <w:szCs w:val="20"/>
                <w:color w:val="auto"/>
              </w:rPr>
            </w:pPr>
          </w:p>
        </w:tc>
        <w:tc>
          <w:tcPr>
            <w:tcW w:w="220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5"/>
              </w:rPr>
              <w:t>-- for LIBOR Rate only)</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
        </w:trPr>
        <w:tc>
          <w:tcPr>
            <w:tcW w:w="5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318"/>
        </w:trPr>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8"/>
        </w:trPr>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8"/>
        </w:trPr>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40"/>
          </w:cols>
          <w:pgMar w:left="320" w:top="621" w:right="239" w:bottom="144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PARTIAL CONVERSIONS THAT ARE (A) BASE RATE LOANS MUST BE IN A MINIMUM AGGREGATE AMOUNT OF $2,000,000 AND IN INTEGRAL MULTIPLES OF $250,000 IN EXCESS THEREOF AND (B) LIBOR RATE LOANS MUST BE IN A MINIMUM AGGREGATE AMOUNT OF $1,000,000 AND IN INTEGRAL MULTIPLES OF $100,000 IN EXCESS THEREOF.</w:t>
      </w:r>
    </w:p>
    <w:p>
      <w:pPr>
        <w:spacing w:after="0" w:line="179" w:lineRule="exact"/>
        <w:rPr>
          <w:sz w:val="20"/>
          <w:szCs w:val="20"/>
          <w:color w:val="auto"/>
        </w:rPr>
      </w:pPr>
    </w:p>
    <w:p>
      <w:pPr>
        <w:sectPr>
          <w:pgSz w:w="11900" w:h="16838" w:orient="portrait"/>
          <w:cols w:equalWidth="0" w:num="2">
            <w:col w:w="700" w:space="720"/>
            <w:col w:w="9920"/>
          </w:cols>
          <w:pgMar w:left="320" w:top="621" w:right="239" w:bottom="1440" w:gutter="0" w:footer="0" w:header="0"/>
          <w:type w:val="continuous"/>
        </w:sectPr>
      </w:pPr>
    </w:p>
    <w:p>
      <w:pPr>
        <w:ind w:left="760"/>
        <w:spacing w:after="0"/>
        <w:rPr>
          <w:sz w:val="20"/>
          <w:szCs w:val="20"/>
          <w:color w:val="auto"/>
        </w:rPr>
      </w:pPr>
      <w:r>
        <w:rPr>
          <w:rFonts w:ascii="Arial" w:cs="Arial" w:eastAsia="Arial" w:hAnsi="Arial"/>
          <w:sz w:val="18"/>
          <w:szCs w:val="18"/>
          <w:color w:val="auto"/>
        </w:rPr>
        <w:t>Capitalized terms used herein and not otherwise defined shall have the meanings set forth in the Credit Agreement.</w:t>
      </w:r>
    </w:p>
    <w:p>
      <w:pPr>
        <w:spacing w:after="0" w:line="239" w:lineRule="exact"/>
        <w:rPr>
          <w:sz w:val="20"/>
          <w:szCs w:val="20"/>
          <w:color w:val="auto"/>
        </w:rPr>
      </w:pPr>
    </w:p>
    <w:p>
      <w:pPr>
        <w:ind w:left="120" w:right="320" w:firstLine="648"/>
        <w:spacing w:after="0" w:line="277" w:lineRule="auto"/>
        <w:rPr>
          <w:sz w:val="20"/>
          <w:szCs w:val="20"/>
          <w:color w:val="auto"/>
        </w:rPr>
      </w:pPr>
      <w:r>
        <w:rPr>
          <w:rFonts w:ascii="Arial" w:cs="Arial" w:eastAsia="Arial" w:hAnsi="Arial"/>
          <w:sz w:val="18"/>
          <w:szCs w:val="18"/>
          <w:color w:val="auto"/>
        </w:rPr>
        <w:t>The undersigned hereby certifies that no Default or Event of Default has occurred and is continuing on the date of the Proposed Conversion or Proposed Continuation or immediately</w:t>
      </w:r>
    </w:p>
    <w:p>
      <w:pPr>
        <w:spacing w:after="0" w:line="200" w:lineRule="exact"/>
        <w:rPr>
          <w:sz w:val="20"/>
          <w:szCs w:val="20"/>
          <w:color w:val="auto"/>
        </w:rPr>
      </w:pPr>
    </w:p>
    <w:p>
      <w:pPr>
        <w:spacing w:after="0" w:line="214" w:lineRule="exact"/>
        <w:rPr>
          <w:sz w:val="20"/>
          <w:szCs w:val="20"/>
          <w:color w:val="auto"/>
        </w:rPr>
      </w:pPr>
    </w:p>
    <w:p>
      <w:pPr>
        <w:ind w:left="120" w:right="280" w:hanging="3"/>
        <w:spacing w:after="0" w:line="324" w:lineRule="auto"/>
        <w:tabs>
          <w:tab w:leader="none" w:pos="65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Notice for LIBOR Rate Loans having an Interest Period of twelve months must be received four (4) Business Days prior to the requested date of such borrowing.</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after giving effect to the Proposed Conversion or Proposed Continuation unless such Default or Event of Default has been cured or waived in accordance with the Credit Agreement.</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Notice of Conversion/Continuation may, upon execution, be delivered by facsimile or electronic mail, which shall be deemed for all purposes to be an original signature.</w:t>
      </w:r>
    </w:p>
    <w:p>
      <w:pPr>
        <w:spacing w:after="0" w:line="18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320" w:top="621" w:right="239" w:bottom="1440" w:gutter="0" w:footer="0" w:header="0"/>
          <w:type w:val="continuous"/>
        </w:sectPr>
      </w:pPr>
    </w:p>
    <w:bookmarkStart w:id="192" w:name="page193"/>
    <w:bookmarkEnd w:id="192"/>
    <w:p>
      <w:pPr>
        <w:jc w:val="right"/>
        <w:ind w:right="2179"/>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40"/>
        <w:spacing w:after="0"/>
        <w:tabs>
          <w:tab w:leader="none" w:pos="2960" w:val="left"/>
        </w:tabs>
        <w:rPr>
          <w:sz w:val="20"/>
          <w:szCs w:val="20"/>
          <w:color w:val="auto"/>
        </w:rPr>
      </w:pPr>
      <w:r>
        <w:rPr>
          <w:rFonts w:ascii="Arial" w:cs="Arial" w:eastAsia="Arial" w:hAnsi="Arial"/>
          <w:sz w:val="18"/>
          <w:szCs w:val="18"/>
          <w:color w:val="auto"/>
        </w:rPr>
        <w:t>By:</w:t>
        <w:tab/>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9019"/>
          </w:cols>
          <w:pgMar w:left="1440" w:top="621" w:right="1440" w:bottom="1440" w:gutter="0" w:footer="0" w:header="0"/>
        </w:sectPr>
      </w:pPr>
    </w:p>
    <w:bookmarkStart w:id="193" w:name="page194"/>
    <w:bookmarkEnd w:id="193"/>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340" w:type="dxa"/>
            <w:vAlign w:val="bottom"/>
            <w:gridSpan w:val="6"/>
          </w:tcPr>
          <w:p>
            <w:pPr>
              <w:jc w:val="right"/>
              <w:ind w:right="3380"/>
              <w:spacing w:after="0"/>
              <w:rPr>
                <w:sz w:val="20"/>
                <w:szCs w:val="20"/>
                <w:color w:val="auto"/>
              </w:rPr>
            </w:pPr>
            <w:r>
              <w:rPr>
                <w:rFonts w:ascii="Arial" w:cs="Arial" w:eastAsia="Arial" w:hAnsi="Arial"/>
                <w:sz w:val="18"/>
                <w:szCs w:val="18"/>
                <w:b w:val="1"/>
                <w:bCs w:val="1"/>
                <w:color w:val="auto"/>
              </w:rPr>
              <w:t>EXHIBIT F</w:t>
            </w:r>
          </w:p>
        </w:tc>
      </w:tr>
      <w:tr>
        <w:trPr>
          <w:trHeight w:val="418"/>
        </w:trPr>
        <w:tc>
          <w:tcPr>
            <w:tcW w:w="6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40" w:type="dxa"/>
            <w:vAlign w:val="bottom"/>
            <w:gridSpan w:val="6"/>
          </w:tcPr>
          <w:p>
            <w:pPr>
              <w:jc w:val="right"/>
              <w:ind w:right="3380"/>
              <w:spacing w:after="0"/>
              <w:rPr>
                <w:sz w:val="20"/>
                <w:szCs w:val="20"/>
                <w:color w:val="auto"/>
              </w:rPr>
            </w:pPr>
            <w:r>
              <w:rPr>
                <w:rFonts w:ascii="Arial" w:cs="Arial" w:eastAsia="Arial" w:hAnsi="Arial"/>
                <w:sz w:val="18"/>
                <w:szCs w:val="18"/>
                <w:color w:val="auto"/>
              </w:rPr>
              <w:t>[FORM OF]</w:t>
            </w:r>
          </w:p>
        </w:tc>
      </w:tr>
      <w:tr>
        <w:trPr>
          <w:trHeight w:val="190"/>
        </w:trPr>
        <w:tc>
          <w:tcPr>
            <w:tcW w:w="6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5"/>
              </w:rPr>
              <w:t>OFFICER’S COMPLIANCE CERTIFICATE</w:t>
            </w:r>
          </w:p>
        </w:tc>
        <w:tc>
          <w:tcPr>
            <w:tcW w:w="4060" w:type="dxa"/>
            <w:vAlign w:val="bottom"/>
            <w:gridSpan w:val="4"/>
          </w:tcPr>
          <w:p>
            <w:pPr>
              <w:spacing w:after="0"/>
              <w:rPr>
                <w:sz w:val="16"/>
                <w:szCs w:val="16"/>
                <w:color w:val="auto"/>
              </w:rPr>
            </w:pPr>
          </w:p>
        </w:tc>
      </w:tr>
      <w:tr>
        <w:trPr>
          <w:trHeight w:val="723"/>
        </w:trPr>
        <w:tc>
          <w:tcPr>
            <w:tcW w:w="11300" w:type="dxa"/>
            <w:vAlign w:val="bottom"/>
            <w:gridSpan w:val="8"/>
          </w:tcPr>
          <w:p>
            <w:pPr>
              <w:spacing w:after="0"/>
              <w:rPr>
                <w:sz w:val="20"/>
                <w:szCs w:val="20"/>
                <w:color w:val="auto"/>
              </w:rPr>
            </w:pPr>
            <w:r>
              <w:rPr>
                <w:rFonts w:ascii="Arial" w:cs="Arial" w:eastAsia="Arial" w:hAnsi="Arial"/>
                <w:sz w:val="18"/>
                <w:szCs w:val="18"/>
                <w:color w:val="auto"/>
              </w:rPr>
              <w:t>TO:  Wells Fargo Bank, National Association, as Administrative Agent</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7"/>
          </w:tcPr>
          <w:p>
            <w:pPr>
              <w:ind w:left="70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0"/>
        </w:trPr>
        <w:tc>
          <w:tcPr>
            <w:tcW w:w="6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700" w:type="dxa"/>
            <w:vAlign w:val="bottom"/>
            <w:gridSpan w:val="7"/>
          </w:tcPr>
          <w:p>
            <w:pPr>
              <w:ind w:left="70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190"/>
        </w:trPr>
        <w:tc>
          <w:tcPr>
            <w:tcW w:w="600" w:type="dxa"/>
            <w:vAlign w:val="bottom"/>
          </w:tcPr>
          <w:p>
            <w:pPr>
              <w:spacing w:after="0"/>
              <w:rPr>
                <w:sz w:val="16"/>
                <w:szCs w:val="16"/>
                <w:color w:val="auto"/>
              </w:rPr>
            </w:pPr>
          </w:p>
        </w:tc>
        <w:tc>
          <w:tcPr>
            <w:tcW w:w="10700" w:type="dxa"/>
            <w:vAlign w:val="bottom"/>
            <w:gridSpan w:val="7"/>
          </w:tcPr>
          <w:p>
            <w:pPr>
              <w:ind w:left="700"/>
              <w:spacing w:after="0" w:line="190" w:lineRule="exact"/>
              <w:rPr>
                <w:sz w:val="20"/>
                <w:szCs w:val="20"/>
                <w:color w:val="auto"/>
              </w:rPr>
            </w:pPr>
            <w:r>
              <w:rPr>
                <w:rFonts w:ascii="Arial" w:cs="Arial" w:eastAsia="Arial" w:hAnsi="Arial"/>
                <w:sz w:val="18"/>
                <w:szCs w:val="18"/>
                <w:color w:val="auto"/>
                <w:w w:val="91"/>
              </w:rPr>
              <w:t>modified, extended, restated, replaced, or supplemented from time to time, the “Credit Agreement”; capitalized terms used herein and not</w:t>
            </w:r>
          </w:p>
        </w:tc>
      </w:tr>
      <w:tr>
        <w:trPr>
          <w:trHeight w:val="237"/>
        </w:trPr>
        <w:tc>
          <w:tcPr>
            <w:tcW w:w="600" w:type="dxa"/>
            <w:vAlign w:val="bottom"/>
          </w:tcPr>
          <w:p>
            <w:pPr>
              <w:spacing w:after="0"/>
              <w:rPr>
                <w:sz w:val="20"/>
                <w:szCs w:val="20"/>
                <w:color w:val="auto"/>
              </w:rPr>
            </w:pPr>
          </w:p>
        </w:tc>
        <w:tc>
          <w:tcPr>
            <w:tcW w:w="6520" w:type="dxa"/>
            <w:vAlign w:val="bottom"/>
            <w:gridSpan w:val="2"/>
          </w:tcPr>
          <w:p>
            <w:pPr>
              <w:ind w:left="700"/>
              <w:spacing w:after="0"/>
              <w:rPr>
                <w:sz w:val="20"/>
                <w:szCs w:val="20"/>
                <w:color w:val="auto"/>
              </w:rPr>
            </w:pPr>
            <w:r>
              <w:rPr>
                <w:rFonts w:ascii="Arial" w:cs="Arial" w:eastAsia="Arial" w:hAnsi="Arial"/>
                <w:sz w:val="18"/>
                <w:szCs w:val="18"/>
                <w:color w:val="auto"/>
                <w:w w:val="94"/>
              </w:rPr>
              <w:t>otherwise defined shall have the meanings set forth in the Credit Agreement)</w:t>
            </w:r>
          </w:p>
        </w:tc>
        <w:tc>
          <w:tcPr>
            <w:tcW w:w="1360" w:type="dxa"/>
            <w:vAlign w:val="bottom"/>
            <w:tcBorders>
              <w:top w:val="single" w:sz="8" w:color="auto"/>
            </w:tcBorders>
            <w:gridSpan w:val="2"/>
          </w:tcPr>
          <w:p>
            <w:pPr>
              <w:spacing w:after="0"/>
              <w:rPr>
                <w:sz w:val="20"/>
                <w:szCs w:val="20"/>
                <w:color w:val="auto"/>
              </w:rPr>
            </w:pPr>
          </w:p>
        </w:tc>
        <w:tc>
          <w:tcPr>
            <w:tcW w:w="2820" w:type="dxa"/>
            <w:vAlign w:val="bottom"/>
            <w:gridSpan w:val="3"/>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7"/>
          </w:tcPr>
          <w:p>
            <w:pPr>
              <w:ind w:left="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the fiscal [quarter] [year] ended [</w:t>
      </w:r>
    </w:p>
    <w:p>
      <w:pPr>
        <w:spacing w:after="0" w:line="63"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8"/>
          <w:szCs w:val="18"/>
          <w:color w:val="auto"/>
        </w:rPr>
        <w:t>,</w:t>
        <w:tab/>
        <w:t>].</w:t>
      </w:r>
    </w:p>
    <w:p>
      <w:pPr>
        <w:spacing w:after="0" w:line="279" w:lineRule="exact"/>
        <w:rPr>
          <w:sz w:val="20"/>
          <w:szCs w:val="20"/>
          <w:color w:val="auto"/>
        </w:rPr>
      </w:pPr>
    </w:p>
    <w:p>
      <w:pPr>
        <w:ind w:left="40" w:firstLine="648"/>
        <w:spacing w:after="0" w:line="277" w:lineRule="auto"/>
        <w:rPr>
          <w:sz w:val="20"/>
          <w:szCs w:val="20"/>
          <w:color w:val="auto"/>
        </w:rPr>
      </w:pPr>
      <w:r>
        <w:rPr>
          <w:rFonts w:ascii="Arial" w:cs="Arial" w:eastAsia="Arial" w:hAnsi="Arial"/>
          <w:sz w:val="18"/>
          <w:szCs w:val="18"/>
          <w:color w:val="auto"/>
        </w:rPr>
        <w:t>The undersigned hereby certifies in his/her capacity as an officer and not in his/her individual capacity on behalf of the Credit Parties that, to the best of his/her knowledge, with respect to the Credit Agreement:</w:t>
      </w:r>
    </w:p>
    <w:p>
      <w:pPr>
        <w:spacing w:after="0" w:line="211" w:lineRule="exact"/>
        <w:rPr>
          <w:sz w:val="20"/>
          <w:szCs w:val="20"/>
          <w:color w:val="auto"/>
        </w:rPr>
      </w:pPr>
    </w:p>
    <w:p>
      <w:pPr>
        <w:jc w:val="both"/>
        <w:ind w:left="680" w:firstLine="653"/>
        <w:spacing w:after="0" w:line="336" w:lineRule="auto"/>
        <w:tabs>
          <w:tab w:leader="none" w:pos="2068"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The financial statements delivered for the fiscal period referred to above present fairly the financial position of Holdings and its Subsidiaries, for the period indicated above, in conformity with GAAP (subject, in the case of unaudited financial statements, to normal year-end audit adjustments and the absence of footnotes) applied on a consistent basis (subject to any changes in GAAP).</w:t>
      </w:r>
    </w:p>
    <w:p>
      <w:pPr>
        <w:spacing w:after="0" w:line="178" w:lineRule="exact"/>
        <w:rPr>
          <w:rFonts w:ascii="Arial" w:cs="Arial" w:eastAsia="Arial" w:hAnsi="Arial"/>
          <w:sz w:val="17"/>
          <w:szCs w:val="17"/>
          <w:color w:val="auto"/>
        </w:rPr>
      </w:pPr>
    </w:p>
    <w:p>
      <w:pPr>
        <w:ind w:left="2080" w:hanging="747"/>
        <w:spacing w:after="0"/>
        <w:tabs>
          <w:tab w:leader="none" w:pos="2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Except as otherwise noted herein, I have obtained no knowledge of any Default or Event of Default under the Credit</w:t>
      </w:r>
    </w:p>
    <w:p>
      <w:pPr>
        <w:spacing w:after="0" w:line="4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Agreement;9</w:t>
      </w:r>
    </w:p>
    <w:p>
      <w:pPr>
        <w:spacing w:after="0" w:line="265" w:lineRule="exact"/>
        <w:rPr>
          <w:rFonts w:ascii="Arial" w:cs="Arial" w:eastAsia="Arial" w:hAnsi="Arial"/>
          <w:sz w:val="18"/>
          <w:szCs w:val="18"/>
          <w:color w:val="auto"/>
        </w:rPr>
      </w:pPr>
    </w:p>
    <w:p>
      <w:pPr>
        <w:ind w:left="680" w:right="20" w:firstLine="653"/>
        <w:spacing w:after="0" w:line="324" w:lineRule="auto"/>
        <w:tabs>
          <w:tab w:leader="none" w:pos="206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Attached hereto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a calculation of Consolidated EBITDA for the fiscal quarter referred to above and the year to date period then ended (including a detailed explanation of adjustments made in the calculation).</w:t>
      </w:r>
    </w:p>
    <w:p>
      <w:pPr>
        <w:spacing w:after="0" w:line="183" w:lineRule="exact"/>
        <w:rPr>
          <w:rFonts w:ascii="Arial" w:cs="Arial" w:eastAsia="Arial" w:hAnsi="Arial"/>
          <w:sz w:val="18"/>
          <w:szCs w:val="18"/>
          <w:color w:val="auto"/>
        </w:rPr>
      </w:pPr>
    </w:p>
    <w:p>
      <w:pPr>
        <w:ind w:left="680" w:firstLine="653"/>
        <w:spacing w:after="0" w:line="324" w:lineRule="auto"/>
        <w:tabs>
          <w:tab w:leader="none" w:pos="207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Attached hereto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are calculations in reasonable detail demonstrating compliance by the Credit Parties with Section 9.14 of the Credit Agreement as of the last day of such period referred to above.</w:t>
      </w:r>
    </w:p>
    <w:p>
      <w:pPr>
        <w:spacing w:after="0" w:line="143" w:lineRule="exact"/>
        <w:rPr>
          <w:rFonts w:ascii="Arial" w:cs="Arial" w:eastAsia="Arial" w:hAnsi="Arial"/>
          <w:sz w:val="18"/>
          <w:szCs w:val="18"/>
          <w:color w:val="auto"/>
        </w:rPr>
      </w:pPr>
    </w:p>
    <w:p>
      <w:pPr>
        <w:ind w:left="1980" w:hanging="674"/>
        <w:spacing w:after="0"/>
        <w:tabs>
          <w:tab w:leader="none" w:pos="1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[Attached hereto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is a calculation of Excess Cash Flow.]10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right="380" w:hanging="4"/>
        <w:spacing w:after="0" w:line="324" w:lineRule="auto"/>
        <w:tabs>
          <w:tab w:leader="none" w:pos="67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the undersigned has knowledge that a Default or Event of Default has occurred and is continuing, an explanation of such Default or Event of Default shall be provided on a separate page attached hereto.</w:t>
      </w:r>
    </w:p>
    <w:p>
      <w:pPr>
        <w:spacing w:after="0" w:line="387" w:lineRule="exact"/>
        <w:rPr>
          <w:sz w:val="20"/>
          <w:szCs w:val="20"/>
          <w:color w:val="auto"/>
        </w:rPr>
      </w:pPr>
    </w:p>
    <w:p>
      <w:pPr>
        <w:ind w:left="2040" w:hanging="734"/>
        <w:spacing w:after="0"/>
        <w:tabs>
          <w:tab w:leader="none" w:pos="20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Attached hereto on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is a discussion and analysis of the attached financial statements by Borrower’s management.</w:t>
      </w:r>
    </w:p>
    <w:p>
      <w:pPr>
        <w:spacing w:after="0" w:line="27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This Certificate may, upon execution, be delivered by facsimile or electronic mail, which shall be deemed for all purposes to be an original signature.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40"/>
          </w:cols>
          <w:pgMar w:left="320" w:top="6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40"/>
          </w:cols>
          <w:pgMar w:left="320" w:top="621" w:right="239" w:bottom="1440" w:gutter="0" w:footer="0" w:header="0"/>
          <w:type w:val="continuous"/>
        </w:sectPr>
      </w:pPr>
    </w:p>
    <w:bookmarkStart w:id="194" w:name="page195"/>
    <w:bookmarkEnd w:id="194"/>
    <w:p>
      <w:pPr>
        <w:jc w:val="right"/>
        <w:ind w:right="2179"/>
        <w:spacing w:after="0"/>
        <w:rPr>
          <w:sz w:val="20"/>
          <w:szCs w:val="20"/>
          <w:color w:val="auto"/>
        </w:rPr>
      </w:pPr>
      <w:r>
        <w:rPr>
          <w:rFonts w:ascii="Arial" w:cs="Arial" w:eastAsia="Arial" w:hAnsi="Arial"/>
          <w:sz w:val="18"/>
          <w:szCs w:val="18"/>
          <w:b w:val="1"/>
          <w:bCs w:val="1"/>
          <w:color w:val="auto"/>
        </w:rPr>
        <w:t>ABRH, LLC,</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40"/>
        <w:spacing w:after="0"/>
        <w:tabs>
          <w:tab w:leader="none" w:pos="2960" w:val="left"/>
        </w:tabs>
        <w:rPr>
          <w:sz w:val="20"/>
          <w:szCs w:val="20"/>
          <w:color w:val="auto"/>
        </w:rPr>
      </w:pPr>
      <w:r>
        <w:rPr>
          <w:rFonts w:ascii="Arial" w:cs="Arial" w:eastAsia="Arial" w:hAnsi="Arial"/>
          <w:sz w:val="18"/>
          <w:szCs w:val="18"/>
          <w:color w:val="auto"/>
        </w:rPr>
        <w:t>By:</w:t>
        <w:tab/>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9019"/>
          </w:cols>
          <w:pgMar w:left="1440" w:top="621" w:right="1440" w:bottom="1440" w:gutter="0" w:footer="0" w:header="0"/>
        </w:sectPr>
      </w:pPr>
    </w:p>
    <w:bookmarkStart w:id="195" w:name="page196"/>
    <w:bookmarkEnd w:id="195"/>
    <w:p>
      <w:pPr>
        <w:ind w:left="6984"/>
        <w:spacing w:after="0"/>
        <w:rPr>
          <w:sz w:val="20"/>
          <w:szCs w:val="20"/>
          <w:color w:val="auto"/>
        </w:rPr>
      </w:pPr>
      <w:r>
        <w:rPr>
          <w:rFonts w:ascii="Arial" w:cs="Arial" w:eastAsia="Arial" w:hAnsi="Arial"/>
          <w:sz w:val="18"/>
          <w:szCs w:val="18"/>
          <w:b w:val="1"/>
          <w:bCs w:val="1"/>
          <w:color w:val="auto"/>
        </w:rPr>
        <w:t>EXHIBIT G</w:t>
      </w:r>
    </w:p>
    <w:p>
      <w:pPr>
        <w:spacing w:after="0" w:line="22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ind w:left="3644"/>
        <w:spacing w:after="0"/>
        <w:rPr>
          <w:sz w:val="20"/>
          <w:szCs w:val="20"/>
          <w:color w:val="auto"/>
        </w:rPr>
      </w:pPr>
      <w:r>
        <w:rPr>
          <w:rFonts w:ascii="Arial" w:cs="Arial" w:eastAsia="Arial" w:hAnsi="Arial"/>
          <w:sz w:val="18"/>
          <w:szCs w:val="18"/>
          <w:u w:val="single" w:color="auto"/>
          <w:color w:val="auto"/>
        </w:rPr>
        <w:t>ASSIGNMENT AND ASSUMPTION</w:t>
      </w:r>
    </w:p>
    <w:p>
      <w:pPr>
        <w:spacing w:after="0" w:line="200" w:lineRule="exact"/>
        <w:rPr>
          <w:sz w:val="20"/>
          <w:szCs w:val="20"/>
          <w:color w:val="auto"/>
        </w:rPr>
      </w:pPr>
    </w:p>
    <w:p>
      <w:pPr>
        <w:spacing w:after="0" w:line="281"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 [each] Assignor identified in item 1 below ([the] [each, an] “</w:t>
      </w:r>
      <w:r>
        <w:rPr>
          <w:rFonts w:ascii="Arial" w:cs="Arial" w:eastAsia="Arial" w:hAnsi="Arial"/>
          <w:sz w:val="18"/>
          <w:szCs w:val="18"/>
          <w:u w:val="single" w:color="auto"/>
          <w:color w:val="auto"/>
        </w:rPr>
        <w:t>Assignor”</w:t>
      </w:r>
      <w:r>
        <w:rPr>
          <w:rFonts w:ascii="Arial" w:cs="Arial" w:eastAsia="Arial" w:hAnsi="Arial"/>
          <w:sz w:val="18"/>
          <w:szCs w:val="18"/>
          <w:color w:val="auto"/>
        </w:rPr>
        <w:t>) and [the] [each] Assignee identified in item 2 below ([the] [each, an] “</w:t>
      </w:r>
      <w:r>
        <w:rPr>
          <w:rFonts w:ascii="Arial" w:cs="Arial" w:eastAsia="Arial" w:hAnsi="Arial"/>
          <w:sz w:val="18"/>
          <w:szCs w:val="18"/>
          <w:u w:val="single" w:color="auto"/>
          <w:color w:val="auto"/>
        </w:rPr>
        <w:t>Assignee”</w:t>
      </w:r>
      <w:r>
        <w:rPr>
          <w:rFonts w:ascii="Arial" w:cs="Arial" w:eastAsia="Arial" w:hAnsi="Arial"/>
          <w:sz w:val="18"/>
          <w:szCs w:val="18"/>
          <w:color w:val="auto"/>
        </w:rPr>
        <w:t>). [It is understood and agreed that the rights and obligations of [the Assignors] [the Assignees] hereunder are several and not joint.]11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[each] Assignee. The Standard Terms and Conditions set forth in Annex 1 attached hereto are hereby agreed to and incorporated herein by reference and made a part of this Assignment and Assumption as if set forth herein in full.</w:t>
      </w:r>
    </w:p>
    <w:p>
      <w:pPr>
        <w:spacing w:after="0" w:line="189"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For an agreed consideration, [the] [each] Assignor hereby irrevocably sells and assigns to [the Assignee] [the respective Assignees], and [the] [each]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 [the respective Assignors’] rights and obligations in [its capacity as a Lender] [their respective capacities as Lenders] under the Credit Agreement and any other documents or instruments delivered pursuant thereto to the extent related to the amount and percentage interest identified below of all of such outstanding rights and obligations of [the Assignor] [the respective Assignors] under the respective facilities identified below (including, without limitation, any Letters of Credit, guarantees and Swingline Loans included in such facilities) and</w:t>
      </w:r>
    </w:p>
    <w:p>
      <w:pPr>
        <w:jc w:val="both"/>
        <w:ind w:left="4" w:hanging="4"/>
        <w:spacing w:after="0" w:line="321" w:lineRule="auto"/>
        <w:tabs>
          <w:tab w:leader="none" w:pos="71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to the extent permitted to be assigned under applicable law, all claims, suits, causes of action and any other right of [the Assignor (in its capacity as a Lender)] [the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[any] Assignor to [the] [any] Assignee pursuant to clauses (i) and (ii) above being referred to herein collectively as [the] [an] “</w:t>
      </w:r>
      <w:r>
        <w:rPr>
          <w:rFonts w:ascii="Arial" w:cs="Arial" w:eastAsia="Arial" w:hAnsi="Arial"/>
          <w:sz w:val="17"/>
          <w:szCs w:val="17"/>
          <w:u w:val="single" w:color="auto"/>
          <w:color w:val="auto"/>
        </w:rPr>
        <w:t>Assigned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w:t>
      </w:r>
      <w:r>
        <w:rPr>
          <w:rFonts w:ascii="Arial" w:cs="Arial" w:eastAsia="Arial" w:hAnsi="Arial"/>
          <w:sz w:val="17"/>
          <w:szCs w:val="17"/>
          <w:color w:val="auto"/>
        </w:rPr>
        <w:t>). Each such sale and assignment is without recourse to [the] [any] Assignor and, except as expressly provided in this Assignment and Assumption, without representation or warranty by [the] [any] Assignor.</w:t>
      </w:r>
    </w:p>
    <w:p>
      <w:pPr>
        <w:spacing w:after="0" w:line="164" w:lineRule="exact"/>
        <w:rPr>
          <w:sz w:val="20"/>
          <w:szCs w:val="20"/>
          <w:color w:val="auto"/>
        </w:rPr>
      </w:pPr>
    </w:p>
    <w:p>
      <w:pPr>
        <w:ind w:left="644" w:hanging="644"/>
        <w:spacing w:after="0"/>
        <w:tabs>
          <w:tab w:leader="none" w:pos="64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Assignor[s]: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4" w:hanging="164"/>
        <w:spacing w:after="0"/>
        <w:tabs>
          <w:tab w:leader="none" w:pos="16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Include bracketed language if there are either multiple Assignors or multiple Assignees.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64" w:hanging="662"/>
        <w:spacing w:after="0"/>
        <w:tabs>
          <w:tab w:leader="none" w:pos="13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Assignee[s]: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64"/>
        <w:spacing w:after="0"/>
        <w:rPr>
          <w:rFonts w:ascii="Arial" w:cs="Arial" w:eastAsia="Arial" w:hAnsi="Arial"/>
          <w:sz w:val="18"/>
          <w:szCs w:val="18"/>
          <w:color w:val="auto"/>
        </w:rPr>
      </w:pPr>
      <w:r>
        <w:rPr>
          <w:rFonts w:ascii="Arial" w:cs="Arial" w:eastAsia="Arial" w:hAnsi="Arial"/>
          <w:sz w:val="18"/>
          <w:szCs w:val="18"/>
          <w:color w:val="auto"/>
        </w:rPr>
        <w:t>[for each Assignee, indicate [Affiliate] [Approved Fund] of [</w:t>
      </w:r>
      <w:r>
        <w:rPr>
          <w:rFonts w:ascii="Arial" w:cs="Arial" w:eastAsia="Arial" w:hAnsi="Arial"/>
          <w:sz w:val="18"/>
          <w:szCs w:val="18"/>
          <w:i w:val="1"/>
          <w:iCs w:val="1"/>
          <w:color w:val="auto"/>
        </w:rPr>
        <w:t>identify</w:t>
      </w:r>
      <w:r>
        <w:rPr>
          <w:rFonts w:ascii="Arial" w:cs="Arial" w:eastAsia="Arial" w:hAnsi="Arial"/>
          <w:sz w:val="18"/>
          <w:szCs w:val="18"/>
          <w:color w:val="auto"/>
        </w:rPr>
        <w:t xml:space="preserve"> Lender]</w:t>
      </w:r>
    </w:p>
    <w:p>
      <w:pPr>
        <w:spacing w:after="0" w:line="238" w:lineRule="exact"/>
        <w:rPr>
          <w:rFonts w:ascii="Arial" w:cs="Arial" w:eastAsia="Arial" w:hAnsi="Arial"/>
          <w:sz w:val="18"/>
          <w:szCs w:val="18"/>
          <w:color w:val="auto"/>
        </w:rPr>
      </w:pPr>
    </w:p>
    <w:p>
      <w:pPr>
        <w:ind w:left="1364" w:hanging="662"/>
        <w:spacing w:after="0"/>
        <w:tabs>
          <w:tab w:leader="none" w:pos="13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Borrower:  ABRH, LLC, a Delaware limited liability company</w:t>
      </w:r>
    </w:p>
    <w:p>
      <w:pPr>
        <w:spacing w:after="0" w:line="238" w:lineRule="exact"/>
        <w:rPr>
          <w:rFonts w:ascii="Arial" w:cs="Arial" w:eastAsia="Arial" w:hAnsi="Arial"/>
          <w:sz w:val="18"/>
          <w:szCs w:val="18"/>
          <w:color w:val="auto"/>
        </w:rPr>
      </w:pPr>
    </w:p>
    <w:p>
      <w:pPr>
        <w:ind w:left="4344" w:right="3840" w:hanging="3642"/>
        <w:spacing w:after="0" w:line="342" w:lineRule="auto"/>
        <w:tabs>
          <w:tab w:leader="none" w:pos="135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Administrative Agent:Wells Fargo Bank, National Association, as the administrative agent under the Credit Agreement.</w:t>
      </w:r>
    </w:p>
    <w:p>
      <w:pPr>
        <w:spacing w:after="0" w:line="137" w:lineRule="exact"/>
        <w:rPr>
          <w:rFonts w:ascii="Arial" w:cs="Arial" w:eastAsia="Arial" w:hAnsi="Arial"/>
          <w:sz w:val="16"/>
          <w:szCs w:val="16"/>
          <w:color w:val="auto"/>
        </w:rPr>
      </w:pPr>
    </w:p>
    <w:p>
      <w:pPr>
        <w:ind w:left="1364" w:hanging="662"/>
        <w:spacing w:after="0"/>
        <w:tabs>
          <w:tab w:leader="none" w:pos="13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Credit Agreement:  Credit Agreement dated as of August 19, 2014 among the</w:t>
      </w:r>
    </w:p>
    <w:p>
      <w:pPr>
        <w:spacing w:after="0" w:line="23" w:lineRule="exact"/>
        <w:rPr>
          <w:sz w:val="20"/>
          <w:szCs w:val="20"/>
          <w:color w:val="auto"/>
        </w:rPr>
      </w:pPr>
    </w:p>
    <w:p>
      <w:pPr>
        <w:ind w:left="3304" w:right="20"/>
        <w:spacing w:after="0" w:line="323" w:lineRule="auto"/>
        <w:rPr>
          <w:sz w:val="20"/>
          <w:szCs w:val="20"/>
          <w:color w:val="auto"/>
        </w:rPr>
      </w:pPr>
      <w:r>
        <w:rPr>
          <w:rFonts w:ascii="Arial" w:cs="Arial" w:eastAsia="Arial" w:hAnsi="Arial"/>
          <w:sz w:val="16"/>
          <w:szCs w:val="16"/>
          <w:color w:val="auto"/>
        </w:rPr>
        <w:t>Borrower, the other Credit Parties from time to time party thereto, the lenders and other financial institutions from time to time party thereto, and Wells Fargo Bank, National Association, as Administrative Agent.</w:t>
      </w:r>
    </w:p>
    <w:p>
      <w:pPr>
        <w:spacing w:after="0" w:line="152" w:lineRule="exact"/>
        <w:rPr>
          <w:sz w:val="20"/>
          <w:szCs w:val="20"/>
          <w:color w:val="auto"/>
        </w:rPr>
      </w:pPr>
    </w:p>
    <w:p>
      <w:pPr>
        <w:ind w:left="1424" w:hanging="722"/>
        <w:spacing w:after="0"/>
        <w:tabs>
          <w:tab w:leader="none" w:pos="1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Assigned Interest[s]:</w:t>
      </w:r>
    </w:p>
    <w:p>
      <w:pPr>
        <w:spacing w:after="0" w:line="25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04"/>
          </w:cols>
          <w:pgMar w:left="356" w:top="621" w:right="239" w:bottom="1440" w:gutter="0" w:footer="0" w:header="0"/>
        </w:sectPr>
      </w:pPr>
    </w:p>
    <w:bookmarkStart w:id="196" w:name="page197"/>
    <w:bookmarkEnd w:id="196"/>
    <w:tbl>
      <w:tblPr>
        <w:tblLayout w:type="fixed"/>
        <w:tblInd w:w="10" w:type="dxa"/>
        <w:tblCellMar>
          <w:top w:w="0" w:type="dxa"/>
          <w:left w:w="0" w:type="dxa"/>
          <w:bottom w:w="0" w:type="dxa"/>
          <w:right w:w="0" w:type="dxa"/>
        </w:tblCellMar>
      </w:tblPr>
      <w:tr>
        <w:trPr>
          <w:trHeight w:val="242"/>
        </w:trPr>
        <w:tc>
          <w:tcPr>
            <w:tcW w:w="1300" w:type="dxa"/>
            <w:vAlign w:val="bottom"/>
            <w:tcBorders>
              <w:top w:val="single" w:sz="8" w:color="auto"/>
              <w:left w:val="single" w:sz="8" w:color="auto"/>
              <w:right w:val="single" w:sz="8" w:color="auto"/>
            </w:tcBorders>
          </w:tcPr>
          <w:p>
            <w:pPr>
              <w:spacing w:after="0"/>
              <w:rPr>
                <w:sz w:val="21"/>
                <w:szCs w:val="21"/>
                <w:color w:val="auto"/>
              </w:rPr>
            </w:pPr>
          </w:p>
        </w:tc>
        <w:tc>
          <w:tcPr>
            <w:tcW w:w="1320" w:type="dxa"/>
            <w:vAlign w:val="bottom"/>
            <w:tcBorders>
              <w:top w:val="single" w:sz="8" w:color="auto"/>
              <w:right w:val="single" w:sz="8" w:color="auto"/>
            </w:tcBorders>
          </w:tcPr>
          <w:p>
            <w:pPr>
              <w:spacing w:after="0"/>
              <w:rPr>
                <w:sz w:val="21"/>
                <w:szCs w:val="21"/>
                <w:color w:val="auto"/>
              </w:rPr>
            </w:pPr>
          </w:p>
        </w:tc>
        <w:tc>
          <w:tcPr>
            <w:tcW w:w="1160" w:type="dxa"/>
            <w:vAlign w:val="bottom"/>
            <w:tcBorders>
              <w:top w:val="single" w:sz="8" w:color="auto"/>
              <w:right w:val="single" w:sz="8" w:color="auto"/>
            </w:tcBorders>
          </w:tcPr>
          <w:p>
            <w:pPr>
              <w:spacing w:after="0"/>
              <w:rPr>
                <w:sz w:val="21"/>
                <w:szCs w:val="21"/>
                <w:color w:val="auto"/>
              </w:rPr>
            </w:pPr>
          </w:p>
        </w:tc>
        <w:tc>
          <w:tcPr>
            <w:tcW w:w="200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Aggregate</w:t>
            </w:r>
          </w:p>
        </w:tc>
        <w:tc>
          <w:tcPr>
            <w:tcW w:w="130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Amount of</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Percentage</w:t>
            </w:r>
          </w:p>
        </w:tc>
        <w:tc>
          <w:tcPr>
            <w:tcW w:w="1300" w:type="dxa"/>
            <w:vAlign w:val="bottom"/>
            <w:tcBorders>
              <w:top w:val="single" w:sz="8" w:color="auto"/>
              <w:right w:val="single" w:sz="8" w:color="auto"/>
            </w:tcBorders>
          </w:tcPr>
          <w:p>
            <w:pPr>
              <w:spacing w:after="0"/>
              <w:rPr>
                <w:sz w:val="21"/>
                <w:szCs w:val="2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97"/>
              </w:rPr>
              <w:t>Amount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Commitment/</w:t>
            </w:r>
          </w:p>
        </w:tc>
        <w:tc>
          <w:tcPr>
            <w:tcW w:w="1480" w:type="dxa"/>
            <w:vAlign w:val="bottom"/>
            <w:tcBorders>
              <w:right w:val="single" w:sz="8" w:color="auto"/>
            </w:tcBorders>
          </w:tcPr>
          <w:p>
            <w:pPr>
              <w:jc w:val="center"/>
              <w:ind w:left="110"/>
              <w:spacing w:after="0"/>
              <w:rPr>
                <w:sz w:val="20"/>
                <w:szCs w:val="20"/>
                <w:color w:val="auto"/>
              </w:rPr>
            </w:pPr>
            <w:r>
              <w:rPr>
                <w:rFonts w:ascii="Arial" w:cs="Arial" w:eastAsia="Arial" w:hAnsi="Arial"/>
                <w:sz w:val="18"/>
                <w:szCs w:val="18"/>
                <w:color w:val="auto"/>
                <w:w w:val="93"/>
              </w:rPr>
              <w:t>Assigned of</w:t>
            </w:r>
          </w:p>
        </w:tc>
        <w:tc>
          <w:tcPr>
            <w:tcW w:w="130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Facility</w:t>
            </w:r>
          </w:p>
        </w:tc>
        <w:tc>
          <w:tcPr>
            <w:tcW w:w="200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color w:val="auto"/>
                <w:w w:val="92"/>
              </w:rPr>
              <w:t>Commitment/ Loans for</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480" w:type="dxa"/>
            <w:vAlign w:val="bottom"/>
            <w:tcBorders>
              <w:right w:val="single" w:sz="8" w:color="auto"/>
            </w:tcBorders>
          </w:tcPr>
          <w:p>
            <w:pPr>
              <w:jc w:val="center"/>
              <w:ind w:left="110"/>
              <w:spacing w:after="0"/>
              <w:rPr>
                <w:sz w:val="20"/>
                <w:szCs w:val="20"/>
                <w:color w:val="auto"/>
              </w:rPr>
            </w:pPr>
            <w:r>
              <w:rPr>
                <w:rFonts w:ascii="Arial" w:cs="Arial" w:eastAsia="Arial" w:hAnsi="Arial"/>
                <w:sz w:val="18"/>
                <w:szCs w:val="18"/>
                <w:color w:val="auto"/>
                <w:w w:val="93"/>
              </w:rPr>
              <w:t>Commitment/</w:t>
            </w:r>
          </w:p>
        </w:tc>
        <w:tc>
          <w:tcPr>
            <w:tcW w:w="13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CUSIP</w:t>
            </w:r>
          </w:p>
        </w:tc>
      </w:tr>
      <w:tr>
        <w:trPr>
          <w:trHeight w:val="230"/>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Assignor[s]</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Assignee[s]</w:t>
            </w:r>
          </w:p>
        </w:tc>
        <w:tc>
          <w:tcPr>
            <w:tcW w:w="11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Assigned</w:t>
            </w:r>
          </w:p>
        </w:tc>
        <w:tc>
          <w:tcPr>
            <w:tcW w:w="200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90"/>
              </w:rPr>
              <w:t>all Lenders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Assigned</w:t>
            </w:r>
          </w:p>
        </w:tc>
        <w:tc>
          <w:tcPr>
            <w:tcW w:w="1480" w:type="dxa"/>
            <w:vAlign w:val="bottom"/>
            <w:tcBorders>
              <w:right w:val="single" w:sz="8" w:color="auto"/>
            </w:tcBorders>
          </w:tcPr>
          <w:p>
            <w:pPr>
              <w:jc w:val="center"/>
              <w:ind w:left="110"/>
              <w:spacing w:after="0"/>
              <w:rPr>
                <w:sz w:val="20"/>
                <w:szCs w:val="20"/>
                <w:color w:val="auto"/>
              </w:rPr>
            </w:pPr>
            <w:r>
              <w:rPr>
                <w:rFonts w:ascii="Arial" w:cs="Arial" w:eastAsia="Arial" w:hAnsi="Arial"/>
                <w:sz w:val="18"/>
                <w:szCs w:val="18"/>
                <w:color w:val="auto"/>
                <w:w w:val="89"/>
              </w:rPr>
              <w:t>Loans</w:t>
            </w:r>
          </w:p>
        </w:tc>
        <w:tc>
          <w:tcPr>
            <w:tcW w:w="13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Number</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37"/>
        </w:trPr>
        <w:tc>
          <w:tcPr>
            <w:tcW w:w="130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jc w:val="right"/>
              <w:ind w:right="18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37"/>
        </w:trPr>
        <w:tc>
          <w:tcPr>
            <w:tcW w:w="130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jc w:val="right"/>
              <w:ind w:right="18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37"/>
        </w:trPr>
        <w:tc>
          <w:tcPr>
            <w:tcW w:w="130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jc w:val="right"/>
              <w:ind w:right="18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Trade Date: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1460" w:val="left"/>
          <w:tab w:leader="none" w:pos="1920" w:val="left"/>
        </w:tabs>
        <w:rPr>
          <w:sz w:val="20"/>
          <w:szCs w:val="20"/>
          <w:color w:val="auto"/>
        </w:rPr>
      </w:pPr>
      <w:r>
        <w:rPr>
          <w:rFonts w:ascii="Arial" w:cs="Arial" w:eastAsia="Arial" w:hAnsi="Arial"/>
          <w:sz w:val="18"/>
          <w:szCs w:val="18"/>
          <w:color w:val="auto"/>
        </w:rPr>
        <w:t>Effective Date: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9860"/>
          </w:cols>
          <w:pgMar w:left="1040" w:top="943" w:right="99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39" w:lineRule="exact"/>
        <w:rPr>
          <w:sz w:val="20"/>
          <w:szCs w:val="20"/>
          <w:color w:val="auto"/>
        </w:rPr>
      </w:pPr>
    </w:p>
    <w:p>
      <w:pPr>
        <w:jc w:val="right"/>
        <w:ind w:right="2179"/>
        <w:spacing w:after="0"/>
        <w:rPr>
          <w:sz w:val="20"/>
          <w:szCs w:val="20"/>
          <w:color w:val="auto"/>
        </w:rPr>
      </w:pPr>
      <w:r>
        <w:rPr>
          <w:rFonts w:ascii="Arial" w:cs="Arial" w:eastAsia="Arial" w:hAnsi="Arial"/>
          <w:sz w:val="18"/>
          <w:szCs w:val="18"/>
          <w:color w:val="auto"/>
        </w:rPr>
        <w:t>ASSIGNOR[S]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9819"/>
          </w:cols>
          <w:pgMar w:left="640" w:top="652" w:right="1440" w:bottom="1440" w:gutter="0" w:footer="0" w:header="0"/>
        </w:sectPr>
      </w:pPr>
    </w:p>
    <w:bookmarkStart w:id="198" w:name="page199"/>
    <w:bookmarkEnd w:id="198"/>
    <w:p>
      <w:pPr>
        <w:ind w:left="4300"/>
        <w:spacing w:after="0"/>
        <w:rPr>
          <w:sz w:val="20"/>
          <w:szCs w:val="20"/>
          <w:color w:val="auto"/>
        </w:rPr>
      </w:pPr>
      <w:r>
        <w:rPr>
          <w:rFonts w:ascii="Arial" w:cs="Arial" w:eastAsia="Arial" w:hAnsi="Arial"/>
          <w:sz w:val="18"/>
          <w:szCs w:val="18"/>
          <w:color w:val="auto"/>
        </w:rPr>
        <w:t>ASSIGNEE[S]</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By: Name:</w:t>
      </w:r>
    </w:p>
    <w:p>
      <w:pPr>
        <w:spacing w:after="0" w:line="23"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9019"/>
          </w:cols>
          <w:pgMar w:left="1440" w:top="652"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[Consented to and] Accepted: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right"/>
        <w:ind w:right="3619"/>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139"/>
          </w:cols>
          <w:pgMar w:left="320" w:top="652"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[Consented to:] [ABRH, LLC]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By: 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139"/>
          </w:cols>
          <w:pgMar w:left="320" w:top="747"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ANNEX 1</w:t>
      </w:r>
    </w:p>
    <w:p>
      <w:pPr>
        <w:spacing w:after="0" w:line="27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STANDARD TERMS AND CONDITIONS FOR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40" w:hanging="683"/>
        <w:spacing w:after="0"/>
        <w:tabs>
          <w:tab w:leader="none" w:pos="134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Assignor[s].</w:t>
      </w:r>
      <w:r>
        <w:rPr>
          <w:rFonts w:ascii="Arial" w:cs="Arial" w:eastAsia="Arial" w:hAnsi="Arial"/>
          <w:sz w:val="17"/>
          <w:szCs w:val="17"/>
          <w:color w:val="auto"/>
        </w:rPr>
        <w:t xml:space="preserve"> [The] [Each] Assignor (a) represents and warrants that (i) it is the legal and beneficial owner of [the] [the relevant] Assigned Interest, (ii) [the] [such]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Assignee[s].</w:t>
      </w:r>
      <w:r>
        <w:rPr>
          <w:rFonts w:ascii="Arial" w:cs="Arial" w:eastAsia="Arial" w:hAnsi="Arial"/>
          <w:sz w:val="17"/>
          <w:szCs w:val="17"/>
          <w:color w:val="auto"/>
        </w:rPr>
        <w:t xml:space="preserve"> [The] [Each]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set forth in the definition of Eligible Assignee and in subsections 12.9(b)(v) and (vi) of the Credit Agreement (subject to such consents, if any, as may be required under Section 12.9(b)(iii) of the Credit Agreement),</w:t>
      </w:r>
    </w:p>
    <w:p>
      <w:pPr>
        <w:spacing w:after="0" w:line="2" w:lineRule="exact"/>
        <w:rPr>
          <w:sz w:val="20"/>
          <w:szCs w:val="20"/>
          <w:color w:val="auto"/>
        </w:rPr>
      </w:pPr>
    </w:p>
    <w:p>
      <w:pPr>
        <w:jc w:val="both"/>
        <w:ind w:firstLine="9"/>
        <w:spacing w:after="0" w:line="340" w:lineRule="auto"/>
        <w:tabs>
          <w:tab w:leader="none" w:pos="77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from and after the Effective Date, it shall be bound by the provisions of the Credit Agreement as a Lender thereunder and, to the extent of [the] [the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8.1 thereof, as applicable,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[such] Assigned Interest, and (vii) if it is a Foreign Lender, attached to the Assignment and Assumption is any documentation required to be delivered by it pursuant to the terms of the Credit Agreement, duly completed and executed by [the] [such] Assignee; and (b) agrees that (i) it will, independently and without reliance on the Administrative Agent, [the] [any] Assignor or any other Lender, and based on such documents and information as it shall deem appropriate at the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11" w:lineRule="exact"/>
        <w:rPr>
          <w:sz w:val="20"/>
          <w:szCs w:val="20"/>
          <w:color w:val="auto"/>
        </w:rPr>
      </w:pPr>
    </w:p>
    <w:p>
      <w:pPr>
        <w:jc w:val="both"/>
        <w:ind w:firstLine="657"/>
        <w:spacing w:after="0" w:line="336" w:lineRule="auto"/>
        <w:tabs>
          <w:tab w:leader="none" w:pos="1337"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From and after the Effective Date, the Administrative Agent shall make all payments in respect of [the] [each] Assigned Interest (including payments of principal, interest, fees and other amounts) to [the] [the relevant] Assignor for amounts which have accrued to but excluding the Effective Date and to [the] [the relevant] Assignee for amounts which have accrued from and after the Effective Date.</w:t>
      </w:r>
    </w:p>
    <w:p>
      <w:pPr>
        <w:spacing w:after="0" w:line="178" w:lineRule="exact"/>
        <w:rPr>
          <w:rFonts w:ascii="Arial" w:cs="Arial" w:eastAsia="Arial" w:hAnsi="Arial"/>
          <w:sz w:val="17"/>
          <w:szCs w:val="17"/>
          <w:color w:val="auto"/>
        </w:rPr>
      </w:pPr>
    </w:p>
    <w:p>
      <w:pPr>
        <w:jc w:val="both"/>
        <w:ind w:firstLine="657"/>
        <w:spacing w:after="0" w:line="304" w:lineRule="auto"/>
        <w:tabs>
          <w:tab w:leader="none" w:pos="1337"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of this Assignment and Assumption by telecopy or other electronic means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40"/>
          </w:cols>
          <w:pgMar w:left="320" w:top="652" w:right="239" w:bottom="1440" w:gutter="0" w:footer="0" w:header="0"/>
        </w:sectPr>
      </w:pPr>
    </w:p>
    <w:bookmarkStart w:id="202" w:name="page203"/>
    <w:bookmarkEnd w:id="202"/>
    <w:p>
      <w:pPr>
        <w:ind w:left="6864"/>
        <w:spacing w:after="0"/>
        <w:rPr>
          <w:sz w:val="20"/>
          <w:szCs w:val="20"/>
          <w:color w:val="auto"/>
        </w:rPr>
      </w:pPr>
      <w:r>
        <w:rPr>
          <w:rFonts w:ascii="Arial" w:cs="Arial" w:eastAsia="Arial" w:hAnsi="Arial"/>
          <w:sz w:val="18"/>
          <w:szCs w:val="18"/>
          <w:b w:val="1"/>
          <w:bCs w:val="1"/>
          <w:color w:val="auto"/>
        </w:rPr>
        <w:t>EXHIBIT H-1</w:t>
      </w:r>
    </w:p>
    <w:p>
      <w:pPr>
        <w:spacing w:after="0" w:line="229" w:lineRule="exact"/>
        <w:rPr>
          <w:sz w:val="20"/>
          <w:szCs w:val="20"/>
          <w:color w:val="auto"/>
        </w:rPr>
      </w:pPr>
    </w:p>
    <w:p>
      <w:pPr>
        <w:ind w:left="7024"/>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ind w:left="5244"/>
        <w:spacing w:after="0"/>
        <w:rPr>
          <w:sz w:val="20"/>
          <w:szCs w:val="20"/>
          <w:color w:val="auto"/>
        </w:rPr>
      </w:pPr>
      <w:r>
        <w:rPr>
          <w:rFonts w:ascii="Arial" w:cs="Arial" w:eastAsia="Arial" w:hAnsi="Arial"/>
          <w:sz w:val="18"/>
          <w:szCs w:val="18"/>
          <w:u w:val="single" w:color="auto"/>
          <w:color w:val="auto"/>
        </w:rPr>
        <w:t>U.S. TAX COMPLIANCE CERTIFICATE</w:t>
      </w:r>
    </w:p>
    <w:p>
      <w:pPr>
        <w:spacing w:after="0" w:line="265" w:lineRule="exact"/>
        <w:rPr>
          <w:sz w:val="20"/>
          <w:szCs w:val="20"/>
          <w:color w:val="auto"/>
        </w:rPr>
      </w:pPr>
    </w:p>
    <w:p>
      <w:pPr>
        <w:ind w:left="384"/>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
        <w:spacing w:after="0"/>
        <w:tabs>
          <w:tab w:leader="none" w:pos="44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Wells Fargo Bank, National Association, as Administrative Agent</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0"/>
        </w:trPr>
        <w:tc>
          <w:tcPr>
            <w:tcW w:w="6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190"/>
        </w:trPr>
        <w:tc>
          <w:tcPr>
            <w:tcW w:w="600" w:type="dxa"/>
            <w:vAlign w:val="bottom"/>
          </w:tcPr>
          <w:p>
            <w:pPr>
              <w:spacing w:after="0"/>
              <w:rPr>
                <w:sz w:val="16"/>
                <w:szCs w:val="16"/>
                <w:color w:val="auto"/>
              </w:rPr>
            </w:pPr>
          </w:p>
        </w:tc>
        <w:tc>
          <w:tcPr>
            <w:tcW w:w="10700" w:type="dxa"/>
            <w:vAlign w:val="bottom"/>
            <w:gridSpan w:val="5"/>
          </w:tcPr>
          <w:p>
            <w:pPr>
              <w:ind w:left="700"/>
              <w:spacing w:after="0" w:line="190" w:lineRule="exact"/>
              <w:rPr>
                <w:sz w:val="20"/>
                <w:szCs w:val="20"/>
                <w:color w:val="auto"/>
              </w:rPr>
            </w:pPr>
            <w:r>
              <w:rPr>
                <w:rFonts w:ascii="Arial" w:cs="Arial" w:eastAsia="Arial" w:hAnsi="Arial"/>
                <w:sz w:val="18"/>
                <w:szCs w:val="18"/>
                <w:color w:val="auto"/>
                <w:w w:val="91"/>
              </w:rPr>
              <w:t>modified, extended, restated, replaced, or supplemented from time to time, the “Credit Agreement”; capitalized terms used herein and not</w:t>
            </w:r>
          </w:p>
        </w:tc>
      </w:tr>
      <w:tr>
        <w:trPr>
          <w:trHeight w:val="237"/>
        </w:trPr>
        <w:tc>
          <w:tcPr>
            <w:tcW w:w="600" w:type="dxa"/>
            <w:vAlign w:val="bottom"/>
          </w:tcPr>
          <w:p>
            <w:pPr>
              <w:spacing w:after="0"/>
              <w:rPr>
                <w:sz w:val="20"/>
                <w:szCs w:val="20"/>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w w:val="94"/>
              </w:rPr>
              <w:t>otherwise defined shall have the meanings set forth in the Credit Agreement)</w:t>
            </w:r>
          </w:p>
        </w:tc>
        <w:tc>
          <w:tcPr>
            <w:tcW w:w="1360" w:type="dxa"/>
            <w:vAlign w:val="bottom"/>
            <w:tcBorders>
              <w:top w:val="single" w:sz="8" w:color="auto"/>
            </w:tcBorders>
          </w:tcPr>
          <w:p>
            <w:pPr>
              <w:spacing w:after="0"/>
              <w:rPr>
                <w:sz w:val="20"/>
                <w:szCs w:val="20"/>
                <w:color w:val="auto"/>
              </w:rPr>
            </w:pPr>
          </w:p>
        </w:tc>
        <w:tc>
          <w:tcPr>
            <w:tcW w:w="2820" w:type="dxa"/>
            <w:vAlign w:val="bottom"/>
            <w:gridSpan w:val="3"/>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5"/>
          </w:tcPr>
          <w:p>
            <w:pPr>
              <w:ind w:left="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6"/>
          <w:szCs w:val="16"/>
          <w:color w:val="auto"/>
        </w:rPr>
        <w:t>Pursuant to the provisions of Section 5.11(g)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shareholder of the Borrower within the meaning of Section 871(h)(3)(B) of the Code,</w:t>
      </w:r>
    </w:p>
    <w:p>
      <w:pPr>
        <w:jc w:val="both"/>
        <w:ind w:left="4" w:hanging="4"/>
        <w:spacing w:after="0" w:line="255" w:lineRule="auto"/>
        <w:tabs>
          <w:tab w:leader="none" w:pos="26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it is not a controlled foreign corporation related to the Borrower as described in Section 881(c)(3)(C) of the Code, and (e) the interest payments on the Loan(s) are not effectively connected with the undersigned’s conduct of a U.S. trade or business or are effectively connected but are not includible in the undersigned’s gross income for U.S. federal income tax purposes under an income tax treaty.</w:t>
      </w:r>
    </w:p>
    <w:p>
      <w:pPr>
        <w:spacing w:after="0" w:line="204"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Internal Revenue Service Form W-8BEN.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spacing w:after="0" w:line="23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04"/>
          </w:cols>
          <w:pgMar w:left="356" w:top="621" w:right="23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color w:val="auto"/>
        </w:rPr>
        <w:t>Delivery of this Certificate by telecopy shall be effective as an original.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as a Lender</w:t>
      </w:r>
    </w:p>
    <w:p>
      <w:pPr>
        <w:spacing w:after="0" w:line="239" w:lineRule="exact"/>
        <w:rPr>
          <w:sz w:val="20"/>
          <w:szCs w:val="20"/>
          <w:color w:val="auto"/>
        </w:rPr>
      </w:pPr>
    </w:p>
    <w:p>
      <w:pPr>
        <w:ind w:left="3240"/>
        <w:spacing w:after="0"/>
        <w:tabs>
          <w:tab w:leader="none" w:pos="3760" w:val="left"/>
          <w:tab w:leader="none" w:pos="4500" w:val="left"/>
        </w:tabs>
        <w:rPr>
          <w:sz w:val="20"/>
          <w:szCs w:val="20"/>
          <w:color w:val="auto"/>
        </w:rPr>
      </w:pPr>
      <w:r>
        <w:rPr>
          <w:rFonts w:ascii="Arial" w:cs="Arial" w:eastAsia="Arial" w:hAnsi="Arial"/>
          <w:sz w:val="18"/>
          <w:szCs w:val="18"/>
          <w:color w:val="auto"/>
        </w:rPr>
        <w:t>By:</w:t>
        <w:tab/>
        <w:t>Name:</w:t>
      </w:r>
      <w:r>
        <w:rPr>
          <w:sz w:val="20"/>
          <w:szCs w:val="20"/>
          <w:color w:val="auto"/>
        </w:rPr>
        <w:tab/>
      </w:r>
      <w:r>
        <w:rPr>
          <w:rFonts w:ascii="Arial" w:cs="Arial" w:eastAsia="Arial" w:hAnsi="Arial"/>
          <w:sz w:val="17"/>
          <w:szCs w:val="17"/>
          <w:color w:val="auto"/>
        </w:rPr>
        <w:t>Title: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9819"/>
          </w:cols>
          <w:pgMar w:left="640" w:top="652" w:right="1440" w:bottom="1440" w:gutter="0" w:footer="0" w:header="0"/>
        </w:sectPr>
      </w:pPr>
    </w:p>
    <w:bookmarkStart w:id="204" w:name="page205"/>
    <w:bookmarkEnd w:id="204"/>
    <w:p>
      <w:pPr>
        <w:ind w:left="6860"/>
        <w:spacing w:after="0"/>
        <w:rPr>
          <w:sz w:val="20"/>
          <w:szCs w:val="20"/>
          <w:color w:val="auto"/>
        </w:rPr>
      </w:pPr>
      <w:r>
        <w:rPr>
          <w:rFonts w:ascii="Arial" w:cs="Arial" w:eastAsia="Arial" w:hAnsi="Arial"/>
          <w:sz w:val="18"/>
          <w:szCs w:val="18"/>
          <w:b w:val="1"/>
          <w:bCs w:val="1"/>
          <w:color w:val="auto"/>
        </w:rPr>
        <w:t>EXHIBIT H-2</w:t>
      </w:r>
    </w:p>
    <w:p>
      <w:pPr>
        <w:spacing w:after="0" w:line="22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U.S. TAX COMPLIANCE CERTIFICATE</w:t>
      </w:r>
    </w:p>
    <w:p>
      <w:pPr>
        <w:spacing w:after="0" w:line="359" w:lineRule="exact"/>
        <w:rPr>
          <w:sz w:val="20"/>
          <w:szCs w:val="20"/>
          <w:color w:val="auto"/>
        </w:rPr>
      </w:pPr>
    </w:p>
    <w:p>
      <w:pPr>
        <w:ind w:left="220"/>
        <w:spacing w:after="0"/>
        <w:tabs>
          <w:tab w:leader="none" w:pos="7340" w:val="left"/>
        </w:tabs>
        <w:rPr>
          <w:sz w:val="20"/>
          <w:szCs w:val="20"/>
          <w:color w:val="auto"/>
        </w:rPr>
      </w:pPr>
      <w:r>
        <w:rPr>
          <w:rFonts w:ascii="Arial" w:cs="Arial" w:eastAsia="Arial" w:hAnsi="Arial"/>
          <w:sz w:val="18"/>
          <w:szCs w:val="18"/>
          <w:color w:val="auto"/>
        </w:rPr>
        <w:t>(For Foreign Participants That Are Not Partnerships For U.S. Federal Income Tax Purposes) TO:</w:t>
      </w:r>
      <w:r>
        <w:rPr>
          <w:sz w:val="20"/>
          <w:szCs w:val="20"/>
          <w:color w:val="auto"/>
        </w:rPr>
        <w:tab/>
      </w:r>
      <w:r>
        <w:rPr>
          <w:rFonts w:ascii="Arial" w:cs="Arial" w:eastAsia="Arial" w:hAnsi="Arial"/>
          <w:sz w:val="16"/>
          <w:szCs w:val="16"/>
          <w:color w:val="auto"/>
        </w:rPr>
        <w:t>Wells Fargo Bank, National Association, 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0"/>
        </w:trPr>
        <w:tc>
          <w:tcPr>
            <w:tcW w:w="6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190"/>
        </w:trPr>
        <w:tc>
          <w:tcPr>
            <w:tcW w:w="600" w:type="dxa"/>
            <w:vAlign w:val="bottom"/>
          </w:tcPr>
          <w:p>
            <w:pPr>
              <w:spacing w:after="0"/>
              <w:rPr>
                <w:sz w:val="16"/>
                <w:szCs w:val="16"/>
                <w:color w:val="auto"/>
              </w:rPr>
            </w:pPr>
          </w:p>
        </w:tc>
        <w:tc>
          <w:tcPr>
            <w:tcW w:w="10700" w:type="dxa"/>
            <w:vAlign w:val="bottom"/>
            <w:gridSpan w:val="5"/>
          </w:tcPr>
          <w:p>
            <w:pPr>
              <w:ind w:left="700"/>
              <w:spacing w:after="0" w:line="190" w:lineRule="exact"/>
              <w:rPr>
                <w:sz w:val="20"/>
                <w:szCs w:val="20"/>
                <w:color w:val="auto"/>
              </w:rPr>
            </w:pPr>
            <w:r>
              <w:rPr>
                <w:rFonts w:ascii="Arial" w:cs="Arial" w:eastAsia="Arial" w:hAnsi="Arial"/>
                <w:sz w:val="18"/>
                <w:szCs w:val="18"/>
                <w:color w:val="auto"/>
                <w:w w:val="91"/>
              </w:rPr>
              <w:t>modified, extended, restated, replaced, or supplemented from time to time, the “Credit Agreement”; capitalized terms used herein and not</w:t>
            </w:r>
          </w:p>
        </w:tc>
      </w:tr>
      <w:tr>
        <w:trPr>
          <w:trHeight w:val="237"/>
        </w:trPr>
        <w:tc>
          <w:tcPr>
            <w:tcW w:w="600" w:type="dxa"/>
            <w:vAlign w:val="bottom"/>
          </w:tcPr>
          <w:p>
            <w:pPr>
              <w:spacing w:after="0"/>
              <w:rPr>
                <w:sz w:val="20"/>
                <w:szCs w:val="20"/>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w w:val="94"/>
              </w:rPr>
              <w:t>otherwise defined shall have the meanings set forth in the Credit Agreement)</w:t>
            </w:r>
          </w:p>
        </w:tc>
        <w:tc>
          <w:tcPr>
            <w:tcW w:w="1360" w:type="dxa"/>
            <w:vAlign w:val="bottom"/>
            <w:tcBorders>
              <w:top w:val="single" w:sz="8" w:color="auto"/>
            </w:tcBorders>
          </w:tcPr>
          <w:p>
            <w:pPr>
              <w:spacing w:after="0"/>
              <w:rPr>
                <w:sz w:val="20"/>
                <w:szCs w:val="20"/>
                <w:color w:val="auto"/>
              </w:rPr>
            </w:pPr>
          </w:p>
        </w:tc>
        <w:tc>
          <w:tcPr>
            <w:tcW w:w="2820" w:type="dxa"/>
            <w:vAlign w:val="bottom"/>
            <w:gridSpan w:val="3"/>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5"/>
          </w:tcPr>
          <w:p>
            <w:pPr>
              <w:ind w:left="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provisions of Section 5.11(g) of the Credit Agreement, the undersigned hereby certifies that (a) it is the sole record and beneficial owner of the participation in respect of which it is providing this certificate, (b) it is not a bank within the meaning of Section 881(c)(3)(A) of the Code, (c) it is not a ten percent shareholder of the Borrower within the meaning of Section 871(h)(3)(B) of the Code, (d) it is not a controlled foreign corporation related to the Borrower as described in Section 881(c)(3)(C) of the Code, and (e) the interest payments with respect to such participation are not effectively connected with the undersigned’s conduct of a U.S. trade or business or are effectively connected but are not includible in the undersigned’s gross income for U.S. federal income tax purposes under an income tax treaty.</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has furnished its participating Lender and the Company with a certificate of its non-U.S. person status on Internal Revenue Service Form W-8BEN. By executing this certificate, the undersigned agrees that (i) if the information provided on this certificate changes, the undersigned shall promptly so inform such Lender in writing, and (ii)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00"/>
          </w:cols>
          <w:pgMar w:left="360" w:top="621"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Delivery of this Certificate by telecopy or other electronic means shall be effective as an original.</w:t>
      </w:r>
    </w:p>
    <w:p>
      <w:pPr>
        <w:sectPr>
          <w:pgSz w:w="11900" w:h="16838" w:orient="portrait"/>
          <w:cols w:equalWidth="0" w:num="1">
            <w:col w:w="9479"/>
          </w:cols>
          <w:pgMar w:left="980" w:top="652" w:right="1440" w:bottom="1440" w:gutter="0" w:footer="0" w:header="0"/>
        </w:sectPr>
      </w:pPr>
    </w:p>
    <w:p>
      <w:pPr>
        <w:spacing w:after="0" w:line="26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as a Lender</w:t>
      </w:r>
    </w:p>
    <w:p>
      <w:pPr>
        <w:spacing w:after="0" w:line="239" w:lineRule="exact"/>
        <w:rPr>
          <w:sz w:val="20"/>
          <w:szCs w:val="20"/>
          <w:color w:val="auto"/>
        </w:rPr>
      </w:pPr>
    </w:p>
    <w:p>
      <w:pPr>
        <w:ind w:left="3240"/>
        <w:spacing w:after="0"/>
        <w:tabs>
          <w:tab w:leader="none" w:pos="3740" w:val="left"/>
          <w:tab w:leader="none" w:pos="4500" w:val="left"/>
        </w:tabs>
        <w:rPr>
          <w:sz w:val="20"/>
          <w:szCs w:val="20"/>
          <w:color w:val="auto"/>
        </w:rPr>
      </w:pPr>
      <w:r>
        <w:rPr>
          <w:rFonts w:ascii="Arial" w:cs="Arial" w:eastAsia="Arial" w:hAnsi="Arial"/>
          <w:sz w:val="18"/>
          <w:szCs w:val="18"/>
          <w:color w:val="auto"/>
        </w:rPr>
        <w:t>By:</w:t>
        <w:tab/>
        <w:t>Name:</w:t>
      </w:r>
      <w:r>
        <w:rPr>
          <w:sz w:val="20"/>
          <w:szCs w:val="20"/>
          <w:color w:val="auto"/>
        </w:rPr>
        <w:tab/>
      </w: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9479"/>
          </w:cols>
          <w:pgMar w:left="980" w:top="652" w:right="1440" w:bottom="1440" w:gutter="0" w:footer="0" w:header="0"/>
          <w:type w:val="continuous"/>
        </w:sectPr>
      </w:pPr>
    </w:p>
    <w:bookmarkStart w:id="206" w:name="page207"/>
    <w:bookmarkEnd w:id="206"/>
    <w:p>
      <w:pPr>
        <w:ind w:left="6864"/>
        <w:spacing w:after="0"/>
        <w:rPr>
          <w:sz w:val="20"/>
          <w:szCs w:val="20"/>
          <w:color w:val="auto"/>
        </w:rPr>
      </w:pPr>
      <w:r>
        <w:rPr>
          <w:rFonts w:ascii="Arial" w:cs="Arial" w:eastAsia="Arial" w:hAnsi="Arial"/>
          <w:sz w:val="18"/>
          <w:szCs w:val="18"/>
          <w:b w:val="1"/>
          <w:bCs w:val="1"/>
          <w:color w:val="auto"/>
        </w:rPr>
        <w:t>EXHIBIT H-3</w:t>
      </w:r>
    </w:p>
    <w:p>
      <w:pPr>
        <w:spacing w:after="0" w:line="229" w:lineRule="exact"/>
        <w:rPr>
          <w:sz w:val="20"/>
          <w:szCs w:val="20"/>
          <w:color w:val="auto"/>
        </w:rPr>
      </w:pPr>
    </w:p>
    <w:p>
      <w:pPr>
        <w:ind w:left="7024"/>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ind w:left="5244"/>
        <w:spacing w:after="0"/>
        <w:rPr>
          <w:sz w:val="20"/>
          <w:szCs w:val="20"/>
          <w:color w:val="auto"/>
        </w:rPr>
      </w:pPr>
      <w:r>
        <w:rPr>
          <w:rFonts w:ascii="Arial" w:cs="Arial" w:eastAsia="Arial" w:hAnsi="Arial"/>
          <w:sz w:val="18"/>
          <w:szCs w:val="18"/>
          <w:u w:val="single" w:color="auto"/>
          <w:color w:val="auto"/>
        </w:rPr>
        <w:t>U.S. TAX COMPLIANCE CERTIFICATE</w:t>
      </w:r>
    </w:p>
    <w:p>
      <w:pPr>
        <w:spacing w:after="0" w:line="359" w:lineRule="exact"/>
        <w:rPr>
          <w:sz w:val="20"/>
          <w:szCs w:val="20"/>
          <w:color w:val="auto"/>
        </w:rPr>
      </w:pPr>
    </w:p>
    <w:p>
      <w:pPr>
        <w:ind w:left="384"/>
        <w:spacing w:after="0"/>
        <w:tabs>
          <w:tab w:leader="none" w:pos="7204" w:val="left"/>
        </w:tabs>
        <w:rPr>
          <w:sz w:val="20"/>
          <w:szCs w:val="20"/>
          <w:color w:val="auto"/>
        </w:rPr>
      </w:pPr>
      <w:r>
        <w:rPr>
          <w:rFonts w:ascii="Arial" w:cs="Arial" w:eastAsia="Arial" w:hAnsi="Arial"/>
          <w:sz w:val="18"/>
          <w:szCs w:val="18"/>
          <w:color w:val="auto"/>
        </w:rPr>
        <w:t>(For Foreign Participants That Are Partnerships For U.S. Federal Income Tax Purposes) TO:</w:t>
      </w:r>
      <w:r>
        <w:rPr>
          <w:sz w:val="20"/>
          <w:szCs w:val="20"/>
          <w:color w:val="auto"/>
        </w:rPr>
        <w:tab/>
      </w:r>
      <w:r>
        <w:rPr>
          <w:rFonts w:ascii="Arial" w:cs="Arial" w:eastAsia="Arial" w:hAnsi="Arial"/>
          <w:sz w:val="16"/>
          <w:szCs w:val="16"/>
          <w:color w:val="auto"/>
        </w:rPr>
        <w:t>Wells Fargo Bank, National Association, as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w:t>
      </w:r>
    </w:p>
    <w:p>
      <w:pPr>
        <w:spacing w:after="0" w:line="8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0"/>
        </w:trPr>
        <w:tc>
          <w:tcPr>
            <w:tcW w:w="6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190"/>
        </w:trPr>
        <w:tc>
          <w:tcPr>
            <w:tcW w:w="600" w:type="dxa"/>
            <w:vAlign w:val="bottom"/>
          </w:tcPr>
          <w:p>
            <w:pPr>
              <w:spacing w:after="0"/>
              <w:rPr>
                <w:sz w:val="16"/>
                <w:szCs w:val="16"/>
                <w:color w:val="auto"/>
              </w:rPr>
            </w:pPr>
          </w:p>
        </w:tc>
        <w:tc>
          <w:tcPr>
            <w:tcW w:w="10700" w:type="dxa"/>
            <w:vAlign w:val="bottom"/>
            <w:gridSpan w:val="5"/>
          </w:tcPr>
          <w:p>
            <w:pPr>
              <w:ind w:left="700"/>
              <w:spacing w:after="0" w:line="190" w:lineRule="exact"/>
              <w:rPr>
                <w:sz w:val="20"/>
                <w:szCs w:val="20"/>
                <w:color w:val="auto"/>
              </w:rPr>
            </w:pPr>
            <w:r>
              <w:rPr>
                <w:rFonts w:ascii="Arial" w:cs="Arial" w:eastAsia="Arial" w:hAnsi="Arial"/>
                <w:sz w:val="18"/>
                <w:szCs w:val="18"/>
                <w:color w:val="auto"/>
                <w:w w:val="91"/>
              </w:rPr>
              <w:t>modified, extended, restated, replaced, or supplemented from time to time, the “Credit Agreement”; capitalized terms used herein and not</w:t>
            </w:r>
          </w:p>
        </w:tc>
      </w:tr>
      <w:tr>
        <w:trPr>
          <w:trHeight w:val="237"/>
        </w:trPr>
        <w:tc>
          <w:tcPr>
            <w:tcW w:w="600" w:type="dxa"/>
            <w:vAlign w:val="bottom"/>
          </w:tcPr>
          <w:p>
            <w:pPr>
              <w:spacing w:after="0"/>
              <w:rPr>
                <w:sz w:val="20"/>
                <w:szCs w:val="20"/>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w w:val="94"/>
              </w:rPr>
              <w:t>otherwise defined shall have the meanings set forth in the Credit Agreement)</w:t>
            </w:r>
          </w:p>
        </w:tc>
        <w:tc>
          <w:tcPr>
            <w:tcW w:w="1360" w:type="dxa"/>
            <w:vAlign w:val="bottom"/>
            <w:tcBorders>
              <w:top w:val="single" w:sz="8" w:color="auto"/>
            </w:tcBorders>
          </w:tcPr>
          <w:p>
            <w:pPr>
              <w:spacing w:after="0"/>
              <w:rPr>
                <w:sz w:val="20"/>
                <w:szCs w:val="20"/>
                <w:color w:val="auto"/>
              </w:rPr>
            </w:pPr>
          </w:p>
        </w:tc>
        <w:tc>
          <w:tcPr>
            <w:tcW w:w="2820" w:type="dxa"/>
            <w:vAlign w:val="bottom"/>
            <w:gridSpan w:val="3"/>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5"/>
          </w:tcPr>
          <w:p>
            <w:pPr>
              <w:ind w:left="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Pursuant to the provisions of Section 5.11(g) of the Credit Agreement, the undersigned hereby certifies that (a) it is the sole record owner of the participation in respect of which it is providing this certificate, (b) its partners/members are the sole beneficial owners of such participation, (c) with respect such participation, neither the undersigned nor any of its partners/members is a bank extending credit pursuant to a loan agreement entered into in the ordinary course of its trade or business within the meaning of Section 881(c)(3)(A) of the Code,</w:t>
      </w:r>
    </w:p>
    <w:p>
      <w:pPr>
        <w:spacing w:after="0" w:line="2" w:lineRule="exact"/>
        <w:rPr>
          <w:sz w:val="20"/>
          <w:szCs w:val="20"/>
          <w:color w:val="auto"/>
        </w:rPr>
      </w:pPr>
    </w:p>
    <w:p>
      <w:pPr>
        <w:jc w:val="both"/>
        <w:ind w:left="4" w:hanging="4"/>
        <w:spacing w:after="0" w:line="295" w:lineRule="auto"/>
        <w:tabs>
          <w:tab w:leader="none" w:pos="28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none of its partners/members is a ten percent shareholder of the Borrower within the meaning of Section 871(h)(3)(B) of the Code, (e) none of its partners/members is a controlled foreign corporation related to the Borrower as described in Section 881(c)(3)(C) of the Code, and (f) the interest payments with respect to such participation are not effectively connected with the undersigned’s or its partners/members’ conduct of a U.S. trade or business or are effectively connected but are not includible in the partners/members’ gross income for U.S. federal income tax purposes under an income tax treaty.</w:t>
      </w:r>
    </w:p>
    <w:p>
      <w:pPr>
        <w:spacing w:after="0" w:line="175" w:lineRule="exact"/>
        <w:rPr>
          <w:sz w:val="20"/>
          <w:szCs w:val="20"/>
          <w:color w:val="auto"/>
        </w:rPr>
      </w:pPr>
    </w:p>
    <w:p>
      <w:pPr>
        <w:jc w:val="both"/>
        <w:ind w:left="4" w:firstLine="648"/>
        <w:spacing w:after="0" w:line="276" w:lineRule="auto"/>
        <w:rPr>
          <w:sz w:val="20"/>
          <w:szCs w:val="20"/>
          <w:color w:val="auto"/>
        </w:rPr>
      </w:pPr>
      <w:r>
        <w:rPr>
          <w:rFonts w:ascii="Arial" w:cs="Arial" w:eastAsia="Arial" w:hAnsi="Arial"/>
          <w:sz w:val="17"/>
          <w:szCs w:val="17"/>
          <w:color w:val="auto"/>
        </w:rPr>
        <w:t>The undersigned has furnished its participating Lender and the Company with Internal Revenue Service Form W-8IMY accompanied by an Internal Revenue Service Form W-8BEN from each of its partners/members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spacing w:after="0" w:line="21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04"/>
          </w:cols>
          <w:pgMar w:left="356" w:top="634" w:right="23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t>Delivery of this Certificate by telecopy or other electronic means shall be effective as an original.</w:t>
      </w:r>
    </w:p>
    <w:p>
      <w:pPr>
        <w:sectPr>
          <w:pgSz w:w="11900" w:h="16838" w:orient="portrait"/>
          <w:cols w:equalWidth="0" w:num="1">
            <w:col w:w="9479"/>
          </w:cols>
          <w:pgMar w:left="980" w:top="6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as a Lender</w:t>
      </w:r>
    </w:p>
    <w:p>
      <w:pPr>
        <w:spacing w:after="0" w:line="239" w:lineRule="exact"/>
        <w:rPr>
          <w:sz w:val="20"/>
          <w:szCs w:val="20"/>
          <w:color w:val="auto"/>
        </w:rPr>
      </w:pPr>
    </w:p>
    <w:p>
      <w:pPr>
        <w:ind w:left="3240"/>
        <w:spacing w:after="0"/>
        <w:tabs>
          <w:tab w:leader="none" w:pos="3740" w:val="left"/>
          <w:tab w:leader="none" w:pos="4500" w:val="left"/>
        </w:tabs>
        <w:rPr>
          <w:sz w:val="20"/>
          <w:szCs w:val="20"/>
          <w:color w:val="auto"/>
        </w:rPr>
      </w:pPr>
      <w:r>
        <w:rPr>
          <w:rFonts w:ascii="Arial" w:cs="Arial" w:eastAsia="Arial" w:hAnsi="Arial"/>
          <w:sz w:val="18"/>
          <w:szCs w:val="18"/>
          <w:color w:val="auto"/>
        </w:rPr>
        <w:t>By:</w:t>
        <w:tab/>
        <w:t>Name:</w:t>
      </w:r>
      <w:r>
        <w:rPr>
          <w:sz w:val="20"/>
          <w:szCs w:val="20"/>
          <w:color w:val="auto"/>
        </w:rPr>
        <w:tab/>
      </w:r>
      <w:r>
        <w:rPr>
          <w:rFonts w:ascii="Arial" w:cs="Arial" w:eastAsia="Arial" w:hAnsi="Arial"/>
          <w:sz w:val="17"/>
          <w:szCs w:val="17"/>
          <w:color w:val="auto"/>
        </w:rPr>
        <w:t>Title:</w:t>
      </w:r>
    </w:p>
    <w:p>
      <w:pPr>
        <w:spacing w:after="0" w:line="200" w:lineRule="exact"/>
        <w:rPr>
          <w:sz w:val="20"/>
          <w:szCs w:val="20"/>
          <w:color w:val="auto"/>
        </w:rPr>
      </w:pPr>
    </w:p>
    <w:p>
      <w:pPr>
        <w:spacing w:after="0" w:line="268"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9479"/>
          </w:cols>
          <w:pgMar w:left="980" w:top="652" w:right="1440" w:bottom="1440" w:gutter="0" w:footer="0" w:header="0"/>
          <w:type w:val="continuous"/>
        </w:sectPr>
      </w:pPr>
    </w:p>
    <w:bookmarkStart w:id="208" w:name="page209"/>
    <w:bookmarkEnd w:id="208"/>
    <w:p>
      <w:pPr>
        <w:ind w:left="6864"/>
        <w:spacing w:after="0"/>
        <w:rPr>
          <w:sz w:val="20"/>
          <w:szCs w:val="20"/>
          <w:color w:val="auto"/>
        </w:rPr>
      </w:pPr>
      <w:r>
        <w:rPr>
          <w:rFonts w:ascii="Arial" w:cs="Arial" w:eastAsia="Arial" w:hAnsi="Arial"/>
          <w:sz w:val="18"/>
          <w:szCs w:val="18"/>
          <w:b w:val="1"/>
          <w:bCs w:val="1"/>
          <w:color w:val="auto"/>
        </w:rPr>
        <w:t>EXHIBIT H-4</w:t>
      </w:r>
    </w:p>
    <w:p>
      <w:pPr>
        <w:spacing w:after="0" w:line="229" w:lineRule="exact"/>
        <w:rPr>
          <w:sz w:val="20"/>
          <w:szCs w:val="20"/>
          <w:color w:val="auto"/>
        </w:rPr>
      </w:pPr>
    </w:p>
    <w:p>
      <w:pPr>
        <w:ind w:left="7024"/>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ind w:left="5244"/>
        <w:spacing w:after="0"/>
        <w:rPr>
          <w:sz w:val="20"/>
          <w:szCs w:val="20"/>
          <w:color w:val="auto"/>
        </w:rPr>
      </w:pPr>
      <w:r>
        <w:rPr>
          <w:rFonts w:ascii="Arial" w:cs="Arial" w:eastAsia="Arial" w:hAnsi="Arial"/>
          <w:sz w:val="18"/>
          <w:szCs w:val="18"/>
          <w:u w:val="single" w:color="auto"/>
          <w:color w:val="auto"/>
        </w:rPr>
        <w:t>U.S. TAX COMPLIANCE CERTIFICATE</w:t>
      </w:r>
    </w:p>
    <w:p>
      <w:pPr>
        <w:spacing w:after="0" w:line="359" w:lineRule="exact"/>
        <w:rPr>
          <w:sz w:val="20"/>
          <w:szCs w:val="20"/>
          <w:color w:val="auto"/>
        </w:rPr>
      </w:pPr>
    </w:p>
    <w:p>
      <w:pPr>
        <w:ind w:left="544"/>
        <w:spacing w:after="0"/>
        <w:tabs>
          <w:tab w:leader="none" w:pos="7104" w:val="left"/>
        </w:tabs>
        <w:rPr>
          <w:sz w:val="20"/>
          <w:szCs w:val="20"/>
          <w:color w:val="auto"/>
        </w:rPr>
      </w:pPr>
      <w:r>
        <w:rPr>
          <w:rFonts w:ascii="Arial" w:cs="Arial" w:eastAsia="Arial" w:hAnsi="Arial"/>
          <w:sz w:val="18"/>
          <w:szCs w:val="18"/>
          <w:color w:val="auto"/>
        </w:rPr>
        <w:t>(For Foreign Lenders That Are Partnerships For U.S. Federal Income Tax Purposes) TO:</w:t>
      </w:r>
      <w:r>
        <w:rPr>
          <w:sz w:val="20"/>
          <w:szCs w:val="20"/>
          <w:color w:val="auto"/>
        </w:rPr>
        <w:tab/>
      </w:r>
      <w:r>
        <w:rPr>
          <w:rFonts w:ascii="Arial" w:cs="Arial" w:eastAsia="Arial" w:hAnsi="Arial"/>
          <w:sz w:val="16"/>
          <w:szCs w:val="16"/>
          <w:color w:val="auto"/>
        </w:rPr>
        <w:t>Wells Fargo Bank, National Association, as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w:t>
      </w:r>
    </w:p>
    <w:p>
      <w:pPr>
        <w:spacing w:after="0" w:line="8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0"/>
        </w:trPr>
        <w:tc>
          <w:tcPr>
            <w:tcW w:w="6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700" w:type="dxa"/>
            <w:vAlign w:val="bottom"/>
            <w:gridSpan w:val="5"/>
          </w:tcPr>
          <w:p>
            <w:pPr>
              <w:ind w:left="70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190"/>
        </w:trPr>
        <w:tc>
          <w:tcPr>
            <w:tcW w:w="600" w:type="dxa"/>
            <w:vAlign w:val="bottom"/>
          </w:tcPr>
          <w:p>
            <w:pPr>
              <w:spacing w:after="0"/>
              <w:rPr>
                <w:sz w:val="16"/>
                <w:szCs w:val="16"/>
                <w:color w:val="auto"/>
              </w:rPr>
            </w:pPr>
          </w:p>
        </w:tc>
        <w:tc>
          <w:tcPr>
            <w:tcW w:w="10700" w:type="dxa"/>
            <w:vAlign w:val="bottom"/>
            <w:gridSpan w:val="5"/>
          </w:tcPr>
          <w:p>
            <w:pPr>
              <w:ind w:left="700"/>
              <w:spacing w:after="0" w:line="190" w:lineRule="exact"/>
              <w:rPr>
                <w:sz w:val="20"/>
                <w:szCs w:val="20"/>
                <w:color w:val="auto"/>
              </w:rPr>
            </w:pPr>
            <w:r>
              <w:rPr>
                <w:rFonts w:ascii="Arial" w:cs="Arial" w:eastAsia="Arial" w:hAnsi="Arial"/>
                <w:sz w:val="18"/>
                <w:szCs w:val="18"/>
                <w:color w:val="auto"/>
                <w:w w:val="91"/>
              </w:rPr>
              <w:t>modified, extended, restated, replaced, or supplemented from time to time, the “Credit Agreement”; capitalized terms used herein and not</w:t>
            </w:r>
          </w:p>
        </w:tc>
      </w:tr>
      <w:tr>
        <w:trPr>
          <w:trHeight w:val="237"/>
        </w:trPr>
        <w:tc>
          <w:tcPr>
            <w:tcW w:w="600" w:type="dxa"/>
            <w:vAlign w:val="bottom"/>
          </w:tcPr>
          <w:p>
            <w:pPr>
              <w:spacing w:after="0"/>
              <w:rPr>
                <w:sz w:val="20"/>
                <w:szCs w:val="20"/>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w w:val="94"/>
              </w:rPr>
              <w:t>otherwise defined shall have the meanings set forth in the Credit Agreement)</w:t>
            </w:r>
          </w:p>
        </w:tc>
        <w:tc>
          <w:tcPr>
            <w:tcW w:w="1360" w:type="dxa"/>
            <w:vAlign w:val="bottom"/>
            <w:tcBorders>
              <w:top w:val="single" w:sz="8" w:color="auto"/>
            </w:tcBorders>
          </w:tcPr>
          <w:p>
            <w:pPr>
              <w:spacing w:after="0"/>
              <w:rPr>
                <w:sz w:val="20"/>
                <w:szCs w:val="20"/>
                <w:color w:val="auto"/>
              </w:rPr>
            </w:pPr>
          </w:p>
        </w:tc>
        <w:tc>
          <w:tcPr>
            <w:tcW w:w="2820" w:type="dxa"/>
            <w:vAlign w:val="bottom"/>
            <w:gridSpan w:val="3"/>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5"/>
          </w:tcPr>
          <w:p>
            <w:pPr>
              <w:ind w:left="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Pursuant to the provisions of Section 5.11(g) of the Credit Agreement, the undersigned hereby certifies that (a) it is the sole record owner of the Loan(s) (as well as any Note(s) evidencing such Loan(s)) in respect of which it is providing this certificate, (b) its partners/members are the sole beneficial owners of such Loan(s) (as well as any Note(s) evidencing such Loan(s)), (c) with respect to the extension of credit pursuant to this Credit Agreement or any other Loan Document, neither the undersigned nor any of its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jc w:val="both"/>
        <w:ind w:left="4" w:hanging="4"/>
        <w:spacing w:after="0" w:line="295" w:lineRule="auto"/>
        <w:tabs>
          <w:tab w:leader="none" w:pos="26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undersigned is not, and none of its partners/members is a ten percent shareholder of the Borrower within the meaning of Section 871(h)(3)(B) of the Code, (e) none of its partners/members is a controlled foreign corporation related to the Borrower as described in Section 881(c)(3)(C) of the Code, and (f) the interest payments on the Loan(s) are not effectively connected with the undersigned’s or its partners/members’ conduct of a U.S. trade or business or are effectively connected but are not includible in the partners/members’ gross income for U.S. federal income tax purposes under an income tax treaty.</w:t>
      </w:r>
    </w:p>
    <w:p>
      <w:pPr>
        <w:spacing w:after="0" w:line="175"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Internal Revenue Service Form W-8IMY accompanied by an Internal Revenue Service Form W-8BEN from each of its partners/members claiming the portfolio interest exemption.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spacing w:after="0" w:line="23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04"/>
          </w:cols>
          <w:pgMar w:left="356" w:top="621" w:right="23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t>Delivery of this Certificate by telecopy or other electronic means shall be effective as an original.</w:t>
      </w:r>
    </w:p>
    <w:p>
      <w:pPr>
        <w:sectPr>
          <w:pgSz w:w="11900" w:h="16838" w:orient="portrait"/>
          <w:cols w:equalWidth="0" w:num="1">
            <w:col w:w="9479"/>
          </w:cols>
          <w:pgMar w:left="980" w:top="6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as a Lender</w:t>
      </w:r>
    </w:p>
    <w:p>
      <w:pPr>
        <w:spacing w:after="0" w:line="239" w:lineRule="exact"/>
        <w:rPr>
          <w:sz w:val="20"/>
          <w:szCs w:val="20"/>
          <w:color w:val="auto"/>
        </w:rPr>
      </w:pPr>
    </w:p>
    <w:p>
      <w:pPr>
        <w:ind w:left="3240"/>
        <w:spacing w:after="0"/>
        <w:tabs>
          <w:tab w:leader="none" w:pos="3740" w:val="left"/>
          <w:tab w:leader="none" w:pos="4500" w:val="left"/>
        </w:tabs>
        <w:rPr>
          <w:sz w:val="20"/>
          <w:szCs w:val="20"/>
          <w:color w:val="auto"/>
        </w:rPr>
      </w:pPr>
      <w:r>
        <w:rPr>
          <w:rFonts w:ascii="Arial" w:cs="Arial" w:eastAsia="Arial" w:hAnsi="Arial"/>
          <w:sz w:val="18"/>
          <w:szCs w:val="18"/>
          <w:color w:val="auto"/>
        </w:rPr>
        <w:t>By:</w:t>
        <w:tab/>
        <w:t>Name:</w:t>
      </w:r>
      <w:r>
        <w:rPr>
          <w:sz w:val="20"/>
          <w:szCs w:val="20"/>
          <w:color w:val="auto"/>
        </w:rPr>
        <w:tab/>
      </w: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9479"/>
          </w:cols>
          <w:pgMar w:left="980" w:top="652" w:right="1440" w:bottom="1440" w:gutter="0" w:footer="0" w:header="0"/>
          <w:type w:val="continuous"/>
        </w:sectPr>
      </w:pPr>
    </w:p>
    <w:bookmarkStart w:id="210" w:name="page211"/>
    <w:bookmarkEnd w:id="210"/>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8"/>
                <w:szCs w:val="18"/>
                <w:b w:val="1"/>
                <w:bCs w:val="1"/>
                <w:color w:val="auto"/>
              </w:rPr>
              <w:t>EXHIBIT I</w:t>
            </w:r>
          </w:p>
        </w:tc>
      </w:tr>
      <w:tr>
        <w:trPr>
          <w:trHeight w:val="392"/>
        </w:trPr>
        <w:tc>
          <w:tcPr>
            <w:tcW w:w="600" w:type="dxa"/>
            <w:vAlign w:val="bottom"/>
          </w:tcPr>
          <w:p>
            <w:pPr>
              <w:spacing w:after="0"/>
              <w:rPr>
                <w:sz w:val="24"/>
                <w:szCs w:val="24"/>
                <w:color w:val="auto"/>
              </w:rPr>
            </w:pPr>
          </w:p>
        </w:tc>
        <w:tc>
          <w:tcPr>
            <w:tcW w:w="10700" w:type="dxa"/>
            <w:vAlign w:val="bottom"/>
            <w:gridSpan w:val="3"/>
          </w:tcPr>
          <w:p>
            <w:pPr>
              <w:ind w:left="3040"/>
              <w:spacing w:after="0"/>
              <w:rPr>
                <w:sz w:val="20"/>
                <w:szCs w:val="20"/>
                <w:color w:val="auto"/>
              </w:rPr>
            </w:pPr>
            <w:r>
              <w:rPr>
                <w:rFonts w:ascii="Arial" w:cs="Arial" w:eastAsia="Arial" w:hAnsi="Arial"/>
                <w:sz w:val="18"/>
                <w:szCs w:val="18"/>
                <w:color w:val="auto"/>
              </w:rPr>
              <w:t>[FORM OF] FUNDING INDEMNITY LETTER</w:t>
            </w:r>
          </w:p>
        </w:tc>
      </w:tr>
      <w:tr>
        <w:trPr>
          <w:trHeight w:val="20"/>
        </w:trPr>
        <w:tc>
          <w:tcPr>
            <w:tcW w:w="4600" w:type="dxa"/>
            <w:vAlign w:val="bottom"/>
            <w:gridSpan w:val="2"/>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07"/>
        </w:trPr>
        <w:tc>
          <w:tcPr>
            <w:tcW w:w="11300" w:type="dxa"/>
            <w:vAlign w:val="bottom"/>
            <w:gridSpan w:val="4"/>
          </w:tcPr>
          <w:p>
            <w:pPr>
              <w:spacing w:after="0"/>
              <w:rPr>
                <w:sz w:val="20"/>
                <w:szCs w:val="20"/>
                <w:color w:val="auto"/>
              </w:rPr>
            </w:pPr>
            <w:r>
              <w:rPr>
                <w:rFonts w:ascii="Arial" w:cs="Arial" w:eastAsia="Arial" w:hAnsi="Arial"/>
                <w:sz w:val="18"/>
                <w:szCs w:val="18"/>
                <w:color w:val="auto"/>
              </w:rPr>
              <w:t>TO:  Wells Fargo Bank, National Association, as Administrative Agent</w:t>
            </w:r>
          </w:p>
        </w:tc>
      </w:tr>
      <w:tr>
        <w:trPr>
          <w:trHeight w:val="431"/>
        </w:trPr>
        <w:tc>
          <w:tcPr>
            <w:tcW w:w="60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3"/>
          </w:tcPr>
          <w:p>
            <w:pPr>
              <w:ind w:left="700"/>
              <w:spacing w:after="0"/>
              <w:rPr>
                <w:sz w:val="20"/>
                <w:szCs w:val="20"/>
                <w:color w:val="auto"/>
              </w:rPr>
            </w:pPr>
            <w:r>
              <w:rPr>
                <w:rFonts w:ascii="Arial" w:cs="Arial" w:eastAsia="Arial" w:hAnsi="Arial"/>
                <w:sz w:val="18"/>
                <w:szCs w:val="18"/>
                <w:color w:val="auto"/>
                <w:w w:val="94"/>
              </w:rPr>
              <w:t>Credit Agreement, dated as of August 19, 2014, by and among ABRH, LLC, a Delaware limited liability company (the “Borrower”), the</w:t>
            </w:r>
          </w:p>
        </w:tc>
      </w:tr>
      <w:tr>
        <w:trPr>
          <w:trHeight w:val="216"/>
        </w:trPr>
        <w:tc>
          <w:tcPr>
            <w:tcW w:w="600" w:type="dxa"/>
            <w:vAlign w:val="bottom"/>
          </w:tcPr>
          <w:p>
            <w:pPr>
              <w:spacing w:after="0"/>
              <w:rPr>
                <w:sz w:val="18"/>
                <w:szCs w:val="18"/>
                <w:color w:val="auto"/>
              </w:rPr>
            </w:pPr>
          </w:p>
        </w:tc>
        <w:tc>
          <w:tcPr>
            <w:tcW w:w="10700" w:type="dxa"/>
            <w:vAlign w:val="bottom"/>
            <w:gridSpan w:val="3"/>
          </w:tcPr>
          <w:p>
            <w:pPr>
              <w:ind w:left="700"/>
              <w:spacing w:after="0"/>
              <w:rPr>
                <w:sz w:val="20"/>
                <w:szCs w:val="20"/>
                <w:color w:val="auto"/>
              </w:rPr>
            </w:pPr>
            <w:r>
              <w:rPr>
                <w:rFonts w:ascii="Arial" w:cs="Arial" w:eastAsia="Arial" w:hAnsi="Arial"/>
                <w:sz w:val="18"/>
                <w:szCs w:val="18"/>
                <w:color w:val="auto"/>
                <w:w w:val="94"/>
              </w:rPr>
              <w:t>other Credit Parties, the Lenders and Wells Fargo Bank, National Association, as Administrative Agent for the Lenders (as amended,</w:t>
            </w:r>
          </w:p>
        </w:tc>
      </w:tr>
      <w:tr>
        <w:trPr>
          <w:trHeight w:val="216"/>
        </w:trPr>
        <w:tc>
          <w:tcPr>
            <w:tcW w:w="600" w:type="dxa"/>
            <w:vAlign w:val="bottom"/>
          </w:tcPr>
          <w:p>
            <w:pPr>
              <w:spacing w:after="0"/>
              <w:rPr>
                <w:sz w:val="18"/>
                <w:szCs w:val="18"/>
                <w:color w:val="auto"/>
              </w:rPr>
            </w:pPr>
          </w:p>
        </w:tc>
        <w:tc>
          <w:tcPr>
            <w:tcW w:w="10700" w:type="dxa"/>
            <w:vAlign w:val="bottom"/>
            <w:gridSpan w:val="3"/>
          </w:tcPr>
          <w:p>
            <w:pPr>
              <w:ind w:left="700"/>
              <w:spacing w:after="0"/>
              <w:rPr>
                <w:sz w:val="20"/>
                <w:szCs w:val="20"/>
                <w:color w:val="auto"/>
              </w:rPr>
            </w:pPr>
            <w:r>
              <w:rPr>
                <w:rFonts w:ascii="Arial" w:cs="Arial" w:eastAsia="Arial" w:hAnsi="Arial"/>
                <w:sz w:val="18"/>
                <w:szCs w:val="18"/>
                <w:color w:val="auto"/>
                <w:w w:val="91"/>
              </w:rPr>
              <w:t>modified, extended, restated, replaced, or supplemented from time to time, the “Credit Agreement”; capitalized terms used herein and not</w:t>
            </w:r>
          </w:p>
        </w:tc>
      </w:tr>
      <w:tr>
        <w:trPr>
          <w:trHeight w:val="230"/>
        </w:trPr>
        <w:tc>
          <w:tcPr>
            <w:tcW w:w="600" w:type="dxa"/>
            <w:vAlign w:val="bottom"/>
          </w:tcPr>
          <w:p>
            <w:pPr>
              <w:spacing w:after="0"/>
              <w:rPr>
                <w:sz w:val="20"/>
                <w:szCs w:val="20"/>
                <w:color w:val="auto"/>
              </w:rPr>
            </w:pPr>
          </w:p>
        </w:tc>
        <w:tc>
          <w:tcPr>
            <w:tcW w:w="10700" w:type="dxa"/>
            <w:vAlign w:val="bottom"/>
            <w:gridSpan w:val="3"/>
          </w:tcPr>
          <w:p>
            <w:pPr>
              <w:ind w:left="700"/>
              <w:spacing w:after="0"/>
              <w:rPr>
                <w:sz w:val="20"/>
                <w:szCs w:val="20"/>
                <w:color w:val="auto"/>
              </w:rPr>
            </w:pPr>
            <w:r>
              <w:rPr>
                <w:rFonts w:ascii="Arial" w:cs="Arial" w:eastAsia="Arial" w:hAnsi="Arial"/>
                <w:sz w:val="18"/>
                <w:szCs w:val="18"/>
                <w:color w:val="auto"/>
              </w:rPr>
              <w:t>otherwise defined shall have the meanings set forth in the Credit Agreement)</w:t>
            </w: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gridSpan w:val="3"/>
          </w:tcPr>
          <w:p>
            <w:pPr>
              <w:ind w:left="80"/>
              <w:spacing w:after="0"/>
              <w:rPr>
                <w:sz w:val="20"/>
                <w:szCs w:val="20"/>
                <w:color w:val="auto"/>
              </w:rPr>
            </w:pPr>
            <w:r>
              <w:rPr>
                <w:rFonts w:ascii="Arial" w:cs="Arial" w:eastAsia="Arial" w:hAnsi="Arial"/>
                <w:sz w:val="18"/>
                <w:szCs w:val="18"/>
                <w:color w:val="auto"/>
              </w:rPr>
              <w:t>August 19, 2014</w:t>
            </w:r>
          </w:p>
        </w:tc>
      </w:tr>
    </w:tbl>
    <w:p>
      <w:pPr>
        <w:spacing w:after="0" w:line="200" w:lineRule="exact"/>
        <w:rPr>
          <w:sz w:val="20"/>
          <w:szCs w:val="20"/>
          <w:color w:val="auto"/>
        </w:rPr>
      </w:pPr>
    </w:p>
    <w:p>
      <w:pPr>
        <w:spacing w:after="0" w:line="272" w:lineRule="exact"/>
        <w:rPr>
          <w:sz w:val="20"/>
          <w:szCs w:val="20"/>
          <w:color w:val="auto"/>
        </w:rPr>
      </w:pPr>
    </w:p>
    <w:p>
      <w:pPr>
        <w:jc w:val="both"/>
        <w:ind w:left="40" w:right="20" w:firstLine="648"/>
        <w:spacing w:after="0" w:line="264" w:lineRule="auto"/>
        <w:rPr>
          <w:sz w:val="20"/>
          <w:szCs w:val="20"/>
          <w:color w:val="auto"/>
        </w:rPr>
      </w:pPr>
      <w:r>
        <w:rPr>
          <w:rFonts w:ascii="Arial" w:cs="Arial" w:eastAsia="Arial" w:hAnsi="Arial"/>
          <w:sz w:val="18"/>
          <w:szCs w:val="18"/>
          <w:color w:val="auto"/>
        </w:rPr>
        <w:t>This letter is delivered in anticipation of the closing of the above-referenced Credit Agreement. Capitalized terms used herein and not otherwise defined shall have the meanings assigned thereto in the most recent draft of the Credit Agreement (including all exhibits and schedules thereto) circulated to the Borrower and the Lenders.</w:t>
      </w:r>
    </w:p>
    <w:p>
      <w:pPr>
        <w:spacing w:after="0" w:line="195"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The Borrower anticipates that all conditions precedent to the closing of the Credit Agreement and the initial Extensions of Credit will be satisfied on or about August 19, 2014 (the “Closing Date”). The Borrower wishes to borrow [a portion of] [the initial Revolving Credit Loans] [and] [the Initial Term Loan], described in the Notice of Borrowing delivered in connection with this letter agreement, on the Closing Date as LIBOR Rate Loans (the “Closing Date LIBOR Rate Loans”).</w:t>
      </w:r>
    </w:p>
    <w:p>
      <w:pPr>
        <w:spacing w:after="0" w:line="200" w:lineRule="exact"/>
        <w:rPr>
          <w:sz w:val="20"/>
          <w:szCs w:val="20"/>
          <w:color w:val="auto"/>
        </w:rPr>
      </w:pPr>
    </w:p>
    <w:p>
      <w:pPr>
        <w:jc w:val="both"/>
        <w:ind w:left="40" w:firstLine="648"/>
        <w:spacing w:after="0" w:line="302" w:lineRule="auto"/>
        <w:rPr>
          <w:sz w:val="20"/>
          <w:szCs w:val="20"/>
          <w:color w:val="auto"/>
        </w:rPr>
      </w:pPr>
      <w:r>
        <w:rPr>
          <w:rFonts w:ascii="Arial" w:cs="Arial" w:eastAsia="Arial" w:hAnsi="Arial"/>
          <w:sz w:val="16"/>
          <w:szCs w:val="16"/>
          <w:color w:val="auto"/>
        </w:rPr>
        <w:t>In order to induce the Lenders to accept this request prior to the Closing Date, the Borrower hereby agrees that, in the event the Borrower fails to borrow the Closing Date LIBOR Rate Loans on the Closing Date for any reason whatsoever (including the failure of the Credit Agreement to become effective), the Borrower hereby unconditionally agrees to reimburse each applicable Lender in respect of its Closing Date LIBOR Rate Loans upon its demand as set forth in Section 5.9 of the Credit Agreement as if it were in effect with respect to the requested Closing Date LIBOR Rate Loans.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letter agreement shall be governed by, and shall be construed and enforced in accordance with, the law of the State of New York. This letter may (a) be executed in any number of counterparts by the different signatories hereto on separate counterparts, each of which counterparts when executed and delivered shall be an original, but all of which together shall constitute one and the same letter and (b) upon execution, be delivered by facsimile or electronic mail, which shall be deemed for all purposes to be an original signature.</w:t>
      </w:r>
    </w:p>
    <w:p>
      <w:pPr>
        <w:spacing w:after="0" w:line="20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40"/>
          </w:cols>
          <w:pgMar w:left="320" w:top="634" w:right="239" w:bottom="1440" w:gutter="0" w:footer="0" w:header="0"/>
        </w:sectPr>
      </w:pPr>
    </w:p>
    <w:bookmarkStart w:id="211" w:name="page212"/>
    <w:bookmarkEnd w:id="211"/>
    <w:p>
      <w:pPr>
        <w:ind w:left="4020"/>
        <w:spacing w:after="0"/>
        <w:rPr>
          <w:sz w:val="20"/>
          <w:szCs w:val="20"/>
          <w:color w:val="auto"/>
        </w:rPr>
      </w:pPr>
      <w:r>
        <w:rPr>
          <w:rFonts w:ascii="Arial" w:cs="Arial" w:eastAsia="Arial" w:hAnsi="Arial"/>
          <w:sz w:val="17"/>
          <w:szCs w:val="17"/>
          <w:color w:val="auto"/>
        </w:rPr>
        <w:t>ABRH, LLC,</w:t>
      </w:r>
    </w:p>
    <w:p>
      <w:pPr>
        <w:spacing w:after="0" w:line="3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1800"/>
        <w:spacing w:after="0"/>
        <w:tabs>
          <w:tab w:leader="none" w:pos="2300" w:val="left"/>
          <w:tab w:leader="none" w:pos="3060" w:val="left"/>
        </w:tabs>
        <w:rPr>
          <w:sz w:val="20"/>
          <w:szCs w:val="20"/>
          <w:color w:val="auto"/>
        </w:rPr>
      </w:pPr>
      <w:r>
        <w:rPr>
          <w:rFonts w:ascii="Arial" w:cs="Arial" w:eastAsia="Arial" w:hAnsi="Arial"/>
          <w:sz w:val="18"/>
          <w:szCs w:val="18"/>
          <w:color w:val="auto"/>
        </w:rPr>
        <w:t>By:</w:t>
        <w:tab/>
        <w:t>Name:</w:t>
      </w:r>
      <w:r>
        <w:rPr>
          <w:sz w:val="20"/>
          <w:szCs w:val="20"/>
          <w:color w:val="auto"/>
        </w:rPr>
        <w:tab/>
      </w:r>
      <w:r>
        <w:rPr>
          <w:rFonts w:ascii="Arial" w:cs="Arial" w:eastAsia="Arial" w:hAnsi="Arial"/>
          <w:sz w:val="17"/>
          <w:szCs w:val="17"/>
          <w:color w:val="auto"/>
        </w:rPr>
        <w:t>Title: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9019"/>
          </w:cols>
          <w:pgMar w:left="1440" w:top="652" w:right="1440" w:bottom="1440" w:gutter="0" w:footer="0" w:header="0"/>
        </w:sectPr>
      </w:pPr>
    </w:p>
    <w:bookmarkStart w:id="212" w:name="page213"/>
    <w:bookmarkEnd w:id="212"/>
    <w:p>
      <w:pPr>
        <w:ind w:left="3191"/>
        <w:spacing w:after="0"/>
        <w:rPr>
          <w:sz w:val="20"/>
          <w:szCs w:val="20"/>
          <w:color w:val="auto"/>
        </w:rPr>
      </w:pPr>
      <w:r>
        <w:rPr>
          <w:rFonts w:ascii="Arial" w:cs="Arial" w:eastAsia="Arial" w:hAnsi="Arial"/>
          <w:sz w:val="18"/>
          <w:szCs w:val="18"/>
          <w:b w:val="1"/>
          <w:bCs w:val="1"/>
          <w:color w:val="auto"/>
        </w:rPr>
        <w:t>Schedule 1.1(a)</w:t>
      </w:r>
    </w:p>
    <w:p>
      <w:pPr>
        <w:spacing w:after="0" w:line="266" w:lineRule="exact"/>
        <w:rPr>
          <w:sz w:val="20"/>
          <w:szCs w:val="20"/>
          <w:color w:val="auto"/>
        </w:rPr>
      </w:pPr>
    </w:p>
    <w:p>
      <w:pPr>
        <w:ind w:left="3191"/>
        <w:spacing w:after="0"/>
        <w:rPr>
          <w:sz w:val="20"/>
          <w:szCs w:val="20"/>
          <w:color w:val="auto"/>
        </w:rPr>
      </w:pPr>
      <w:r>
        <w:rPr>
          <w:rFonts w:ascii="Arial" w:cs="Arial" w:eastAsia="Arial" w:hAnsi="Arial"/>
          <w:sz w:val="18"/>
          <w:szCs w:val="18"/>
          <w:b w:val="1"/>
          <w:bCs w:val="1"/>
          <w:color w:val="auto"/>
        </w:rPr>
        <w:t>Existing Letters of Credit</w:t>
      </w:r>
    </w:p>
    <w:p>
      <w:pPr>
        <w:spacing w:after="0" w:line="108" w:lineRule="exact"/>
        <w:rPr>
          <w:sz w:val="20"/>
          <w:szCs w:val="20"/>
          <w:color w:val="auto"/>
        </w:rPr>
      </w:pPr>
    </w:p>
    <w:p>
      <w:pPr>
        <w:ind w:left="331" w:hanging="331"/>
        <w:spacing w:after="0" w:line="277" w:lineRule="auto"/>
        <w:tabs>
          <w:tab w:leader="none" w:pos="3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Standby letter of credit SM202618A issued by Wells Fargo Bank, National Association in the face amount of $85,000.00 for the benefit of Employers Insurance of Wausau.</w:t>
      </w:r>
    </w:p>
    <w:p>
      <w:pPr>
        <w:spacing w:after="0" w:line="170" w:lineRule="exact"/>
        <w:rPr>
          <w:rFonts w:ascii="Arial" w:cs="Arial" w:eastAsia="Arial" w:hAnsi="Arial"/>
          <w:sz w:val="18"/>
          <w:szCs w:val="18"/>
          <w:color w:val="auto"/>
        </w:rPr>
      </w:pPr>
    </w:p>
    <w:p>
      <w:pPr>
        <w:ind w:left="331" w:right="240" w:hanging="331"/>
        <w:spacing w:after="0" w:line="277" w:lineRule="auto"/>
        <w:tabs>
          <w:tab w:leader="none" w:pos="3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Standby letter of credit SM202825A issued by Wells Fargo Bank, National Association in the face amount of $500,000.00 for the benefit of Safety National Casualty Corp.</w:t>
      </w:r>
    </w:p>
    <w:p>
      <w:pPr>
        <w:spacing w:after="0" w:line="170" w:lineRule="exact"/>
        <w:rPr>
          <w:rFonts w:ascii="Arial" w:cs="Arial" w:eastAsia="Arial" w:hAnsi="Arial"/>
          <w:sz w:val="18"/>
          <w:szCs w:val="18"/>
          <w:color w:val="auto"/>
        </w:rPr>
      </w:pPr>
    </w:p>
    <w:p>
      <w:pPr>
        <w:ind w:left="331" w:hanging="331"/>
        <w:spacing w:after="0" w:line="277" w:lineRule="auto"/>
        <w:tabs>
          <w:tab w:leader="none" w:pos="3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Standby letter of credit SM220033A issued by Wells Fargo Bank, National Association in the face amount of $11,675,000.00 for the benefit of Zurich American Insurance Company.</w:t>
      </w:r>
    </w:p>
    <w:p>
      <w:pPr>
        <w:spacing w:after="0" w:line="170" w:lineRule="exact"/>
        <w:rPr>
          <w:rFonts w:ascii="Arial" w:cs="Arial" w:eastAsia="Arial" w:hAnsi="Arial"/>
          <w:sz w:val="18"/>
          <w:szCs w:val="18"/>
          <w:color w:val="auto"/>
        </w:rPr>
      </w:pPr>
    </w:p>
    <w:p>
      <w:pPr>
        <w:ind w:left="331" w:right="100" w:hanging="331"/>
        <w:spacing w:after="0" w:line="277" w:lineRule="auto"/>
        <w:tabs>
          <w:tab w:leader="none" w:pos="3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Standby letter of credit NZS516179 issued by Wells Fargo Bank, National Association in the face amount of $83,000.00 for the benefit of Arrowood Indemnity Company.</w:t>
      </w:r>
    </w:p>
    <w:p>
      <w:pPr>
        <w:spacing w:after="0" w:line="170" w:lineRule="exact"/>
        <w:rPr>
          <w:rFonts w:ascii="Arial" w:cs="Arial" w:eastAsia="Arial" w:hAnsi="Arial"/>
          <w:sz w:val="18"/>
          <w:szCs w:val="18"/>
          <w:color w:val="auto"/>
        </w:rPr>
      </w:pPr>
    </w:p>
    <w:p>
      <w:pPr>
        <w:ind w:left="331" w:right="60" w:hanging="331"/>
        <w:spacing w:after="0" w:line="277" w:lineRule="auto"/>
        <w:tabs>
          <w:tab w:leader="none" w:pos="3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Standby letter of credit NZS516182 issued by Wells Fargo Bank, National Association in the face amount of $1,425,000.00 for the benefit of Federal Insurance Company.</w:t>
      </w:r>
    </w:p>
    <w:p>
      <w:pPr>
        <w:spacing w:after="0" w:line="170" w:lineRule="exact"/>
        <w:rPr>
          <w:rFonts w:ascii="Arial" w:cs="Arial" w:eastAsia="Arial" w:hAnsi="Arial"/>
          <w:sz w:val="18"/>
          <w:szCs w:val="18"/>
          <w:color w:val="auto"/>
        </w:rPr>
      </w:pPr>
    </w:p>
    <w:p>
      <w:pPr>
        <w:ind w:left="331" w:right="240" w:hanging="331"/>
        <w:spacing w:after="0" w:line="277" w:lineRule="auto"/>
        <w:tabs>
          <w:tab w:leader="none" w:pos="3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Standby letter of credit NZS625674 issued by Wells Fargo Bank, National Association in the face amount of $3,878,156.00 for the benefit of Arch Insurance Company.</w:t>
      </w:r>
    </w:p>
    <w:p>
      <w:pPr>
        <w:spacing w:after="0" w:line="197" w:lineRule="exact"/>
        <w:rPr>
          <w:sz w:val="20"/>
          <w:szCs w:val="20"/>
          <w:color w:val="auto"/>
        </w:rPr>
      </w:pPr>
    </w:p>
    <w:p>
      <w:pPr>
        <w:jc w:val="center"/>
        <w:ind w:right="-11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31"/>
          </w:cols>
          <w:pgMar w:left="329" w:top="743" w:right="439" w:bottom="1440" w:gutter="0" w:footer="0" w:header="0"/>
        </w:sectPr>
      </w:pPr>
    </w:p>
    <w:bookmarkStart w:id="213" w:name="page214"/>
    <w:bookmarkEnd w:id="213"/>
    <w:p>
      <w:pPr>
        <w:ind w:left="2500"/>
        <w:spacing w:after="0"/>
        <w:rPr>
          <w:sz w:val="20"/>
          <w:szCs w:val="20"/>
          <w:color w:val="auto"/>
        </w:rPr>
      </w:pPr>
      <w:r>
        <w:rPr>
          <w:rFonts w:ascii="Arial" w:cs="Arial" w:eastAsia="Arial" w:hAnsi="Arial"/>
          <w:sz w:val="18"/>
          <w:szCs w:val="18"/>
          <w:color w:val="auto"/>
        </w:rPr>
        <w:t>Schedule 1.1(b)</w:t>
      </w:r>
    </w:p>
    <w:p>
      <w:pPr>
        <w:spacing w:after="0" w:line="26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Commitments and Commitment Percentages</w:t>
      </w:r>
    </w:p>
    <w:p>
      <w:pPr>
        <w:spacing w:after="0" w:line="200" w:lineRule="exact"/>
        <w:rPr>
          <w:sz w:val="20"/>
          <w:szCs w:val="20"/>
          <w:color w:val="auto"/>
        </w:rPr>
      </w:pPr>
    </w:p>
    <w:p>
      <w:pPr>
        <w:spacing w:after="0" w:line="249" w:lineRule="exact"/>
        <w:rPr>
          <w:sz w:val="20"/>
          <w:szCs w:val="20"/>
          <w:color w:val="auto"/>
        </w:rPr>
      </w:pPr>
    </w:p>
    <w:tbl>
      <w:tblPr>
        <w:tblLayout w:type="fixed"/>
        <w:tblInd w:w="190" w:type="dxa"/>
        <w:tblCellMar>
          <w:top w:w="0" w:type="dxa"/>
          <w:left w:w="0" w:type="dxa"/>
          <w:bottom w:w="0" w:type="dxa"/>
          <w:right w:w="0" w:type="dxa"/>
        </w:tblCellMar>
      </w:tblPr>
      <w:tr>
        <w:trPr>
          <w:trHeight w:val="238"/>
        </w:trPr>
        <w:tc>
          <w:tcPr>
            <w:tcW w:w="2400" w:type="dxa"/>
            <w:vAlign w:val="bottom"/>
            <w:tcBorders>
              <w:top w:val="single" w:sz="8" w:color="auto"/>
              <w:left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Term Loan</w:t>
            </w:r>
          </w:p>
        </w:tc>
        <w:tc>
          <w:tcPr>
            <w:tcW w:w="1420" w:type="dxa"/>
            <w:vAlign w:val="bottom"/>
            <w:tcBorders>
              <w:top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Revolving Credit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Term Loan</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Commitment</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5"/>
              </w:rPr>
              <w:t>Revolving Credit</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Commitment</w:t>
            </w:r>
          </w:p>
        </w:tc>
      </w:tr>
      <w:tr>
        <w:trPr>
          <w:trHeight w:val="234"/>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Lender</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Commitment</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Percentage</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Commitment</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18"/>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Wells Fargo Bank, National</w:t>
            </w:r>
          </w:p>
        </w:tc>
        <w:tc>
          <w:tcPr>
            <w:tcW w:w="12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Association</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$20,952,380.95</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19.047619048%</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$19,047,619.05</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19.047619048%</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Bank of America, N.A.</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$20,952,380.95</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19.047619048%</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$19,047,619.05</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19.047619048%</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1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Cooperatieve Centrale</w:t>
            </w:r>
          </w:p>
        </w:tc>
        <w:tc>
          <w:tcPr>
            <w:tcW w:w="12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Raiffeisen- Boerenleenbank</w:t>
            </w:r>
          </w:p>
        </w:tc>
        <w:tc>
          <w:tcPr>
            <w:tcW w:w="12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B.A. “Rabobank</w:t>
            </w:r>
          </w:p>
        </w:tc>
        <w:tc>
          <w:tcPr>
            <w:tcW w:w="12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Nederland”, New York</w:t>
            </w:r>
          </w:p>
        </w:tc>
        <w:tc>
          <w:tcPr>
            <w:tcW w:w="12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Branch</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$18,333,333.33</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16.666666667%</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$16,666,666.67</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16.666666667%</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Regions Bank</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$18,333,333.33</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16.666666667%</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$16,666,666.67</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16.666666667%</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18"/>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Citizens Bank, National</w:t>
            </w:r>
          </w:p>
        </w:tc>
        <w:tc>
          <w:tcPr>
            <w:tcW w:w="12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Association</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$18,333,333.33</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16.666666667%</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$16,666,666.67</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16.666666667%</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Fifth Third Bank</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$13,095,238.10</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11.904761905%</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$11,904,761.90</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11.904761905%</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$110,000,000.00</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100.000000000%</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$100,000,000.00</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100.000000000%</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669"/>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520"/>
              <w:spacing w:after="0"/>
              <w:rPr>
                <w:sz w:val="20"/>
                <w:szCs w:val="20"/>
                <w:color w:val="auto"/>
              </w:rPr>
            </w:pPr>
            <w:r>
              <w:rPr>
                <w:rFonts w:ascii="Arial" w:cs="Arial" w:eastAsia="Arial" w:hAnsi="Arial"/>
                <w:sz w:val="18"/>
                <w:szCs w:val="18"/>
                <w:color w:val="auto"/>
              </w:rPr>
              <w:t>142</w:t>
            </w: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9019"/>
          </w:cols>
          <w:pgMar w:left="1440" w:top="963" w:right="1440" w:bottom="1440" w:gutter="0" w:footer="0" w:header="0"/>
        </w:sectPr>
      </w:pPr>
    </w:p>
    <w:bookmarkStart w:id="214" w:name="page215"/>
    <w:bookmarkEnd w:id="214"/>
    <w:p>
      <w:pPr>
        <w:ind w:left="3584"/>
        <w:spacing w:after="0"/>
        <w:rPr>
          <w:sz w:val="20"/>
          <w:szCs w:val="20"/>
          <w:color w:val="auto"/>
        </w:rPr>
      </w:pPr>
      <w:r>
        <w:rPr>
          <w:rFonts w:ascii="Arial" w:cs="Arial" w:eastAsia="Arial" w:hAnsi="Arial"/>
          <w:sz w:val="18"/>
          <w:szCs w:val="18"/>
          <w:color w:val="auto"/>
        </w:rPr>
        <w:t>Schedule 8.18 Post-Closing Matters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 w:right="140" w:hanging="4"/>
        <w:spacing w:after="0" w:line="324" w:lineRule="auto"/>
        <w:tabs>
          <w:tab w:leader="none" w:pos="74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The following shall be completed within sixty (60) days of the Closing Date (or such longer period of time as agreed to by the Administrative Agent):</w:t>
      </w:r>
    </w:p>
    <w:p>
      <w:pPr>
        <w:spacing w:after="0" w:line="156" w:lineRule="exact"/>
        <w:rPr>
          <w:rFonts w:ascii="Arial" w:cs="Arial" w:eastAsia="Arial" w:hAnsi="Arial"/>
          <w:sz w:val="18"/>
          <w:szCs w:val="18"/>
          <w:color w:val="auto"/>
        </w:rPr>
      </w:pPr>
    </w:p>
    <w:p>
      <w:pPr>
        <w:jc w:val="both"/>
        <w:ind w:left="1304" w:hanging="332"/>
        <w:spacing w:after="0" w:line="302" w:lineRule="auto"/>
        <w:tabs>
          <w:tab w:leader="none" w:pos="1304"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Title Insurance.</w:t>
      </w:r>
      <w:r>
        <w:rPr>
          <w:rFonts w:ascii="Arial" w:cs="Arial" w:eastAsia="Arial" w:hAnsi="Arial"/>
          <w:sz w:val="16"/>
          <w:szCs w:val="16"/>
          <w:color w:val="auto"/>
        </w:rPr>
        <w:t xml:space="preserve"> The Administrative Agent shall have received a marked-up commitment for an ALTA mortgagee title insurance policy, insuring the first priority Lien of the Administrative Agent (subject only to Permitted Liens), for the benefit of the Secured Parties, and showing no Liens prior to such Liens other than for ad valorem taxes not yet due and payable, with title insurance companies acceptable to the Administrative Agent, on each property subject to a Mortgage, but no survey of the property will be required.</w:t>
      </w:r>
    </w:p>
    <w:p>
      <w:pPr>
        <w:spacing w:after="0" w:line="167" w:lineRule="exact"/>
        <w:rPr>
          <w:rFonts w:ascii="Arial" w:cs="Arial" w:eastAsia="Arial" w:hAnsi="Arial"/>
          <w:sz w:val="16"/>
          <w:szCs w:val="16"/>
          <w:color w:val="auto"/>
        </w:rPr>
      </w:pPr>
    </w:p>
    <w:p>
      <w:pPr>
        <w:ind w:left="1304" w:hanging="332"/>
        <w:spacing w:after="0" w:line="277" w:lineRule="auto"/>
        <w:tabs>
          <w:tab w:leader="none" w:pos="1304"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t>Title Exceptions.</w:t>
      </w:r>
      <w:r>
        <w:rPr>
          <w:rFonts w:ascii="Arial" w:cs="Arial" w:eastAsia="Arial" w:hAnsi="Arial"/>
          <w:sz w:val="18"/>
          <w:szCs w:val="18"/>
          <w:color w:val="auto"/>
        </w:rPr>
        <w:t xml:space="preserve"> The Administrative Agent shall have received copies of all recorded documents creating exceptions to the title policy referred to in </w:t>
      </w:r>
      <w:r>
        <w:rPr>
          <w:rFonts w:ascii="Arial" w:cs="Arial" w:eastAsia="Arial" w:hAnsi="Arial"/>
          <w:sz w:val="18"/>
          <w:szCs w:val="18"/>
          <w:u w:val="single" w:color="auto"/>
          <w:color w:val="auto"/>
        </w:rPr>
        <w:t>Section 6.1(d)(i).</w:t>
      </w:r>
    </w:p>
    <w:p>
      <w:pPr>
        <w:spacing w:after="0" w:line="170" w:lineRule="exact"/>
        <w:rPr>
          <w:rFonts w:ascii="Arial" w:cs="Arial" w:eastAsia="Arial" w:hAnsi="Arial"/>
          <w:sz w:val="18"/>
          <w:szCs w:val="18"/>
          <w:color w:val="auto"/>
        </w:rPr>
      </w:pPr>
    </w:p>
    <w:p>
      <w:pPr>
        <w:jc w:val="both"/>
        <w:ind w:left="1304" w:hanging="332"/>
        <w:spacing w:after="0" w:line="291" w:lineRule="auto"/>
        <w:tabs>
          <w:tab w:leader="none" w:pos="1304"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Matters Relating to Flood Hazard Properties.</w:t>
      </w:r>
      <w:r>
        <w:rPr>
          <w:rFonts w:ascii="Arial" w:cs="Arial" w:eastAsia="Arial" w:hAnsi="Arial"/>
          <w:sz w:val="16"/>
          <w:szCs w:val="16"/>
          <w:color w:val="auto"/>
        </w:rPr>
        <w:t xml:space="preserve"> With respect to each parcel of real property subject to a Mortgage, the Administrative Agent shall have received (A) a “life of loan” flood hazard certification from the National Research Center, or any successor agency thereto and,</w:t>
      </w:r>
    </w:p>
    <w:p>
      <w:pPr>
        <w:jc w:val="both"/>
        <w:ind w:left="1304" w:hanging="7"/>
        <w:spacing w:after="0" w:line="281" w:lineRule="auto"/>
        <w:tabs>
          <w:tab w:leader="none" w:pos="1598" w:val="left"/>
        </w:tabs>
        <w:numPr>
          <w:ilvl w:val="2"/>
          <w:numId w:val="288"/>
        </w:numPr>
        <w:rPr>
          <w:rFonts w:ascii="Arial" w:cs="Arial" w:eastAsia="Arial" w:hAnsi="Arial"/>
          <w:sz w:val="16"/>
          <w:szCs w:val="16"/>
          <w:color w:val="auto"/>
        </w:rPr>
      </w:pPr>
      <w:r>
        <w:rPr>
          <w:rFonts w:ascii="Arial" w:cs="Arial" w:eastAsia="Arial" w:hAnsi="Arial"/>
          <w:sz w:val="16"/>
          <w:szCs w:val="16"/>
          <w:color w:val="auto"/>
        </w:rPr>
        <w:t>if such parcel of real property is located in a special flood hazard area:notices to (and confirmation of receipt by) the Borrower as to the existence of a special flood hazard and, if applicable, the unavailability of flood hazard insurance under the National Flood Insurance Program because the community does not participate in the National Flood Insurance Program; andto the extent flood hazard insurance is available in the community in which the real property is located, a copy of one of the following: (w) the flood hazard insurance policy, (x) the Borrower’s application for a flood hazard insurance policy, together with proof of payment of the premium associated therewith,</w:t>
      </w:r>
    </w:p>
    <w:p>
      <w:pPr>
        <w:spacing w:after="0" w:line="3" w:lineRule="exact"/>
        <w:rPr>
          <w:rFonts w:ascii="Arial" w:cs="Arial" w:eastAsia="Arial" w:hAnsi="Arial"/>
          <w:sz w:val="16"/>
          <w:szCs w:val="16"/>
          <w:color w:val="auto"/>
        </w:rPr>
      </w:pPr>
    </w:p>
    <w:p>
      <w:pPr>
        <w:ind w:left="1304"/>
        <w:spacing w:after="0" w:line="261" w:lineRule="auto"/>
        <w:rPr>
          <w:rFonts w:ascii="Arial" w:cs="Arial" w:eastAsia="Arial" w:hAnsi="Arial"/>
          <w:sz w:val="16"/>
          <w:szCs w:val="16"/>
          <w:color w:val="auto"/>
        </w:rPr>
      </w:pPr>
      <w:r>
        <w:rPr>
          <w:rFonts w:ascii="Arial" w:cs="Arial" w:eastAsia="Arial" w:hAnsi="Arial"/>
          <w:sz w:val="18"/>
          <w:szCs w:val="18"/>
          <w:color w:val="auto"/>
        </w:rPr>
        <w:t>(y) a declaration page confirming that flood hazard insurance has been issued to the Borrower or (z) such other evidence of flood hazard insurance satisfactory to the Administrative Agent.</w:t>
      </w:r>
    </w:p>
    <w:p>
      <w:pPr>
        <w:spacing w:after="0" w:line="183" w:lineRule="exact"/>
        <w:rPr>
          <w:rFonts w:ascii="Arial" w:cs="Arial" w:eastAsia="Arial" w:hAnsi="Arial"/>
          <w:sz w:val="16"/>
          <w:szCs w:val="16"/>
          <w:color w:val="auto"/>
        </w:rPr>
      </w:pPr>
    </w:p>
    <w:p>
      <w:pPr>
        <w:ind w:left="1304" w:hanging="332"/>
        <w:spacing w:after="0" w:line="308" w:lineRule="auto"/>
        <w:tabs>
          <w:tab w:leader="none" w:pos="1304" w:val="left"/>
        </w:tabs>
        <w:numPr>
          <w:ilvl w:val="1"/>
          <w:numId w:val="288"/>
        </w:numPr>
        <w:rPr>
          <w:rFonts w:ascii="Arial" w:cs="Arial" w:eastAsia="Arial" w:hAnsi="Arial"/>
          <w:sz w:val="17"/>
          <w:szCs w:val="17"/>
          <w:color w:val="auto"/>
        </w:rPr>
      </w:pPr>
      <w:r>
        <w:rPr>
          <w:rFonts w:ascii="Arial" w:cs="Arial" w:eastAsia="Arial" w:hAnsi="Arial"/>
          <w:sz w:val="17"/>
          <w:szCs w:val="17"/>
          <w:u w:val="single" w:color="auto"/>
          <w:color w:val="auto"/>
        </w:rPr>
        <w:t>Other Real Property Information.</w:t>
      </w:r>
      <w:r>
        <w:rPr>
          <w:rFonts w:ascii="Arial" w:cs="Arial" w:eastAsia="Arial" w:hAnsi="Arial"/>
          <w:sz w:val="17"/>
          <w:szCs w:val="17"/>
          <w:color w:val="auto"/>
        </w:rPr>
        <w:t xml:space="preserve"> The Administrative Agent shall have received such other certificates, documents and information as are reasonably requested by the Lenders to ensure the validity and priority of the Lien created in favor of the Administrative Agent.</w:t>
      </w:r>
    </w:p>
    <w:p>
      <w:pPr>
        <w:spacing w:after="0" w:line="173" w:lineRule="exact"/>
        <w:rPr>
          <w:rFonts w:ascii="Arial" w:cs="Arial" w:eastAsia="Arial" w:hAnsi="Arial"/>
          <w:sz w:val="17"/>
          <w:szCs w:val="17"/>
          <w:color w:val="auto"/>
        </w:rPr>
      </w:pPr>
    </w:p>
    <w:p>
      <w:pPr>
        <w:jc w:val="both"/>
        <w:ind w:left="4" w:hanging="4"/>
        <w:spacing w:after="0" w:line="311" w:lineRule="auto"/>
        <w:tabs>
          <w:tab w:leader="none" w:pos="75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Control Agreements.</w:t>
      </w:r>
      <w:r>
        <w:rPr>
          <w:rFonts w:ascii="Arial" w:cs="Arial" w:eastAsia="Arial" w:hAnsi="Arial"/>
          <w:sz w:val="18"/>
          <w:szCs w:val="18"/>
          <w:color w:val="auto"/>
        </w:rPr>
        <w:t xml:space="preserve"> To the extent not completed on or prior to the Closing Date, the Credit Parties will enter into Control Agreements required pursuant to Section 7(c) of the Guaranty and Security Agreement on or before the date that is thirty (30) days after the Closing Date (or such longer time period as agreed to by the Administrative Agent)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04"/>
          </w:cols>
          <w:pgMar w:left="356" w:top="747"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2014</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2014</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10, 2014</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7"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10, 2014</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2167AD"/>
    <w:multiLevelType w:val="hybridMultilevel"/>
    <w:lvl w:ilvl="0">
      <w:lvlJc w:val="left"/>
      <w:lvlText w:val="☑"/>
      <w:numFmt w:val="bullet"/>
      <w:start w:val="1"/>
    </w:lvl>
  </w:abstractNum>
  <w:abstractNum w:abstractNumId="1">
    <w:nsid w:val="631B64D4"/>
    <w:multiLevelType w:val="hybridMultilevel"/>
    <w:lvl w:ilvl="0">
      <w:lvlJc w:val="left"/>
      <w:lvlText w:val="o"/>
      <w:numFmt w:val="bullet"/>
      <w:start w:val="1"/>
    </w:lvl>
  </w:abstractNum>
  <w:abstractNum w:abstractNumId="2">
    <w:nsid w:val="78B5E776"/>
    <w:multiLevelType w:val="hybridMultilevel"/>
    <w:lvl w:ilvl="0">
      <w:lvlJc w:val="left"/>
      <w:lvlText w:val="(%1)"/>
      <w:numFmt w:val="decimal"/>
      <w:start w:val="1"/>
    </w:lvl>
  </w:abstractNum>
  <w:abstractNum w:abstractNumId="3">
    <w:nsid w:val="75486E47"/>
    <w:multiLevelType w:val="hybridMultilevel"/>
    <w:lvl w:ilvl="0">
      <w:lvlJc w:val="left"/>
      <w:lvlText w:val="•"/>
      <w:numFmt w:val="bullet"/>
      <w:start w:val="1"/>
    </w:lvl>
  </w:abstractNum>
  <w:abstractNum w:abstractNumId="4">
    <w:nsid w:val="6E534CDE"/>
    <w:multiLevelType w:val="hybridMultilevel"/>
    <w:lvl w:ilvl="0">
      <w:lvlJc w:val="left"/>
      <w:lvlText w:val="•"/>
      <w:numFmt w:val="bullet"/>
      <w:start w:val="1"/>
    </w:lvl>
  </w:abstractNum>
  <w:abstractNum w:abstractNumId="5">
    <w:nsid w:val="1A0DDE32"/>
    <w:multiLevelType w:val="hybridMultilevel"/>
    <w:lvl w:ilvl="0">
      <w:lvlJc w:val="left"/>
      <w:lvlText w:val="(%1)"/>
      <w:numFmt w:val="lowerLetter"/>
      <w:start w:val="6"/>
    </w:lvl>
  </w:abstractNum>
  <w:abstractNum w:abstractNumId="6">
    <w:nsid w:val="65968C1C"/>
    <w:multiLevelType w:val="hybridMultilevel"/>
    <w:lvl w:ilvl="0">
      <w:lvlJc w:val="left"/>
      <w:lvlText w:val="(%1)"/>
      <w:numFmt w:val="lowerLetter"/>
      <w:start w:val="1"/>
    </w:lvl>
  </w:abstractNum>
  <w:abstractNum w:abstractNumId="7">
    <w:nsid w:val="46263DEC"/>
    <w:multiLevelType w:val="hybridMultilevel"/>
    <w:lvl w:ilvl="0">
      <w:lvlJc w:val="left"/>
      <w:lvlText w:val="(%1)"/>
      <w:numFmt w:val="lowerRoman"/>
      <w:start w:val="2"/>
    </w:lvl>
  </w:abstractNum>
  <w:abstractNum w:abstractNumId="8">
    <w:nsid w:val="260D8C4A"/>
    <w:multiLevelType w:val="hybridMultilevel"/>
    <w:lvl w:ilvl="0">
      <w:lvlJc w:val="left"/>
      <w:lvlText w:val="(%1)"/>
      <w:numFmt w:val="lowerLetter"/>
      <w:start w:val="1"/>
    </w:lvl>
  </w:abstractNum>
  <w:abstractNum w:abstractNumId="9">
    <w:nsid w:val="73D4D3C4"/>
    <w:multiLevelType w:val="hybridMultilevel"/>
    <w:lvl w:ilvl="0">
      <w:lvlJc w:val="left"/>
      <w:lvlText w:val="(%1)"/>
      <w:numFmt w:val="lowerLetter"/>
      <w:start w:val="1"/>
    </w:lvl>
    <w:lvl w:ilvl="1">
      <w:lvlJc w:val="left"/>
      <w:lvlText w:val="(%2)"/>
      <w:numFmt w:val="lowerRoman"/>
      <w:start w:val="1"/>
    </w:lvl>
  </w:abstractNum>
  <w:abstractNum w:abstractNumId="10">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1">
    <w:nsid w:val="6FDE8AF6"/>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2">
    <w:nsid w:val="3FC32E2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3">
    <w:nsid w:val="49C0E823"/>
    <w:multiLevelType w:val="hybridMultilevel"/>
    <w:lvl w:ilvl="0">
      <w:lvlJc w:val="left"/>
      <w:lvlText w:val="(%1)"/>
      <w:numFmt w:val="lowerLetter"/>
      <w:start w:val="3"/>
    </w:lvl>
  </w:abstractNum>
  <w:abstractNum w:abstractNumId="14">
    <w:nsid w:val="14D53685"/>
    <w:multiLevelType w:val="hybridMultilevel"/>
    <w:lvl w:ilvl="0">
      <w:lvlJc w:val="left"/>
      <w:lvlText w:val="(%1)"/>
      <w:numFmt w:val="lowerLetter"/>
      <w:start w:val="1"/>
    </w:lvl>
  </w:abstractNum>
  <w:abstractNum w:abstractNumId="15">
    <w:nsid w:val="230F856C"/>
    <w:multiLevelType w:val="hybridMultilevel"/>
    <w:lvl w:ilvl="0">
      <w:lvlJc w:val="left"/>
      <w:lvlText w:val="(%1)"/>
      <w:numFmt w:val="lowerLetter"/>
      <w:start w:val="1"/>
    </w:lvl>
  </w:abstractNum>
  <w:abstractNum w:abstractNumId="16">
    <w:nsid w:val="6EAA85FB"/>
    <w:multiLevelType w:val="hybridMultilevel"/>
    <w:lvl w:ilvl="0">
      <w:lvlJc w:val="left"/>
      <w:lvlText w:val="(%1)"/>
      <w:numFmt w:val="lowerLetter"/>
      <w:start w:val="4"/>
    </w:lvl>
  </w:abstractNum>
  <w:abstractNum w:abstractNumId="17">
    <w:nsid w:val="3F06ECB2"/>
    <w:multiLevelType w:val="hybridMultilevel"/>
    <w:lvl w:ilvl="0">
      <w:lvlJc w:val="left"/>
      <w:lvlText w:val="•"/>
      <w:numFmt w:val="bullet"/>
      <w:start w:val="1"/>
    </w:lvl>
  </w:abstractNum>
  <w:abstractNum w:abstractNumId="18">
    <w:nsid w:val="3B594807"/>
    <w:multiLevelType w:val="hybridMultilevel"/>
    <w:lvl w:ilvl="0">
      <w:lvlJc w:val="left"/>
      <w:lvlText w:val="•"/>
      <w:numFmt w:val="bullet"/>
      <w:start w:val="1"/>
    </w:lvl>
  </w:abstractNum>
  <w:abstractNum w:abstractNumId="19">
    <w:nsid w:val="6CAA2304"/>
    <w:multiLevelType w:val="hybridMultilevel"/>
    <w:lvl w:ilvl="0">
      <w:lvlJc w:val="left"/>
      <w:lvlText w:val="•"/>
      <w:numFmt w:val="bullet"/>
      <w:start w:val="1"/>
    </w:lvl>
  </w:abstractNum>
  <w:abstractNum w:abstractNumId="20">
    <w:nsid w:val="3F7C2FF4"/>
    <w:multiLevelType w:val="hybridMultilevel"/>
    <w:lvl w:ilvl="0">
      <w:lvlJc w:val="left"/>
      <w:lvlText w:val="(%1)"/>
      <w:numFmt w:val="lowerLetter"/>
      <w:start w:val="2"/>
    </w:lvl>
  </w:abstractNum>
  <w:abstractNum w:abstractNumId="21">
    <w:nsid w:val="25413BEC"/>
    <w:multiLevelType w:val="hybridMultilevel"/>
    <w:lvl w:ilvl="0">
      <w:lvlJc w:val="left"/>
      <w:lvlText w:val="(%1)"/>
      <w:numFmt w:val="lowerLetter"/>
      <w:start w:val="1"/>
    </w:lvl>
  </w:abstractNum>
  <w:abstractNum w:abstractNumId="22">
    <w:nsid w:val="17180B0B"/>
    <w:multiLevelType w:val="hybridMultilevel"/>
    <w:lvl w:ilvl="0">
      <w:lvlJc w:val="left"/>
      <w:lvlText w:val="(%1)"/>
      <w:numFmt w:val="lowerLetter"/>
      <w:start w:val="1"/>
    </w:lvl>
  </w:abstractNum>
  <w:abstractNum w:abstractNumId="23">
    <w:nsid w:val="579328B9"/>
    <w:multiLevelType w:val="hybridMultilevel"/>
    <w:lvl w:ilvl="0">
      <w:lvlJc w:val="left"/>
      <w:lvlText w:val="(%1)"/>
      <w:numFmt w:val="lowerLetter"/>
      <w:start w:val="1"/>
    </w:lvl>
  </w:abstractNum>
  <w:abstractNum w:abstractNumId="24">
    <w:nsid w:val="5D205E20"/>
    <w:multiLevelType w:val="hybridMultilevel"/>
    <w:lvl w:ilvl="0">
      <w:lvlJc w:val="left"/>
      <w:lvlText w:val="(%1)"/>
      <w:numFmt w:val="lowerLetter"/>
      <w:start w:val="1"/>
    </w:lvl>
  </w:abstractNum>
  <w:abstractNum w:abstractNumId="25">
    <w:nsid w:val="11CCA8BA"/>
    <w:multiLevelType w:val="hybridMultilevel"/>
    <w:lvl w:ilvl="0">
      <w:lvlJc w:val="left"/>
      <w:lvlText w:val="(%1)"/>
      <w:numFmt w:val="lowerRoman"/>
      <w:start w:val="1"/>
    </w:lvl>
  </w:abstractNum>
  <w:abstractNum w:abstractNumId="26">
    <w:nsid w:val="4D32AB86"/>
    <w:multiLevelType w:val="hybridMultilevel"/>
    <w:lvl w:ilvl="0">
      <w:lvlJc w:val="left"/>
      <w:lvlText w:val="(%1)"/>
      <w:numFmt w:val="lowerLetter"/>
      <w:start w:val="1"/>
    </w:lvl>
  </w:abstractNum>
  <w:abstractNum w:abstractNumId="27">
    <w:nsid w:val="3F07ACC3"/>
    <w:multiLevelType w:val="hybridMultilevel"/>
    <w:lvl w:ilvl="0">
      <w:lvlJc w:val="left"/>
      <w:lvlText w:val="(%1)"/>
      <w:numFmt w:val="lowerLetter"/>
      <w:start w:val="1"/>
    </w:lvl>
  </w:abstractNum>
  <w:abstractNum w:abstractNumId="28">
    <w:nsid w:val="6B47F63E"/>
    <w:multiLevelType w:val="hybridMultilevel"/>
    <w:lvl w:ilvl="0">
      <w:lvlJc w:val="left"/>
      <w:lvlText w:val="(%1)"/>
      <w:numFmt w:val="lowerLetter"/>
      <w:start w:val="1"/>
    </w:lvl>
  </w:abstractNum>
  <w:abstractNum w:abstractNumId="29">
    <w:nsid w:val="5CB44A05"/>
    <w:multiLevelType w:val="hybridMultilevel"/>
    <w:lvl w:ilvl="0">
      <w:lvlJc w:val="left"/>
      <w:lvlText w:val="(%1)"/>
      <w:numFmt w:val="lowerRoman"/>
      <w:start w:val="2"/>
    </w:lvl>
  </w:abstractNum>
  <w:abstractNum w:abstractNumId="30">
    <w:nsid w:val="16CF80F1"/>
    <w:multiLevelType w:val="hybridMultilevel"/>
    <w:lvl w:ilvl="0">
      <w:lvlJc w:val="left"/>
      <w:lvlText w:val="(%1)"/>
      <w:numFmt w:val="lowerLetter"/>
      <w:start w:val="1"/>
    </w:lvl>
  </w:abstractNum>
  <w:abstractNum w:abstractNumId="31">
    <w:nsid w:val="1C695DEC"/>
    <w:multiLevelType w:val="hybridMultilevel"/>
    <w:lvl w:ilvl="0">
      <w:lvlJc w:val="left"/>
      <w:lvlText w:val="(%1)"/>
      <w:numFmt w:val="lowerLetter"/>
      <w:start w:val="4"/>
    </w:lvl>
  </w:abstractNum>
  <w:abstractNum w:abstractNumId="32">
    <w:nsid w:val="3FCFAED9"/>
    <w:multiLevelType w:val="hybridMultilevel"/>
    <w:lvl w:ilvl="0">
      <w:lvlJc w:val="left"/>
      <w:lvlText w:val="%1"/>
      <w:numFmt w:val="lowerLetter"/>
      <w:start w:val="1"/>
    </w:lvl>
    <w:lvl w:ilvl="1">
      <w:lvlJc w:val="left"/>
      <w:lvlText w:val="(%2)"/>
      <w:numFmt w:val="lowerLetter"/>
      <w:start w:val="1"/>
    </w:lvl>
  </w:abstractNum>
  <w:abstractNum w:abstractNumId="33">
    <w:nsid w:val="F856867"/>
    <w:multiLevelType w:val="hybridMultilevel"/>
    <w:lvl w:ilvl="0">
      <w:lvlJc w:val="left"/>
      <w:lvlText w:val="(%1)"/>
      <w:numFmt w:val="lowerLetter"/>
      <w:start w:val="35"/>
    </w:lvl>
    <w:lvl w:ilvl="1">
      <w:lvlJc w:val="left"/>
      <w:lvlText w:val="(%2)"/>
      <w:numFmt w:val="lowerLetter"/>
      <w:start w:val="2"/>
    </w:lvl>
  </w:abstractNum>
  <w:abstractNum w:abstractNumId="34">
    <w:nsid w:val="11B1CC33"/>
    <w:multiLevelType w:val="hybridMultilevel"/>
    <w:lvl w:ilvl="0">
      <w:lvlJc w:val="left"/>
      <w:lvlText w:val="(%1)"/>
      <w:numFmt w:val="lowerRoman"/>
      <w:start w:val="1"/>
    </w:lvl>
  </w:abstractNum>
  <w:abstractNum w:abstractNumId="35">
    <w:nsid w:val="2E22FBB7"/>
    <w:multiLevelType w:val="hybridMultilevel"/>
    <w:lvl w:ilvl="0">
      <w:lvlJc w:val="left"/>
      <w:lvlText w:val="(%1)"/>
      <w:numFmt w:val="lowerRoman"/>
      <w:start w:val="1"/>
    </w:lvl>
  </w:abstractNum>
  <w:abstractNum w:abstractNumId="36">
    <w:nsid w:val="29934699"/>
    <w:multiLevelType w:val="hybridMultilevel"/>
    <w:lvl w:ilvl="0">
      <w:lvlJc w:val="left"/>
      <w:lvlText w:val="(%1)"/>
      <w:numFmt w:val="lowerRoman"/>
      <w:start w:val="3"/>
    </w:lvl>
  </w:abstractNum>
  <w:abstractNum w:abstractNumId="37">
    <w:nsid w:val="77485850"/>
    <w:multiLevelType w:val="hybridMultilevel"/>
    <w:lvl w:ilvl="0">
      <w:lvlJc w:val="left"/>
      <w:lvlText w:val="(%1)"/>
      <w:numFmt w:val="lowerLetter"/>
      <w:start w:val="1"/>
    </w:lvl>
  </w:abstractNum>
  <w:abstractNum w:abstractNumId="38">
    <w:nsid w:val="744939A3"/>
    <w:multiLevelType w:val="hybridMultilevel"/>
    <w:lvl w:ilvl="0">
      <w:lvlJc w:val="left"/>
      <w:lvlText w:val="(%1)"/>
      <w:numFmt w:val="lowerLetter"/>
      <w:start w:val="2"/>
    </w:lvl>
  </w:abstractNum>
  <w:abstractNum w:abstractNumId="39">
    <w:nsid w:val="4FA0D2E3"/>
    <w:multiLevelType w:val="hybridMultilevel"/>
    <w:lvl w:ilvl="0">
      <w:lvlJc w:val="left"/>
      <w:lvlText w:val="(%1)"/>
      <w:numFmt w:val="lowerLetter"/>
      <w:start w:val="1"/>
    </w:lvl>
  </w:abstractNum>
  <w:abstractNum w:abstractNumId="40">
    <w:nsid w:val="6B1D2C14"/>
    <w:multiLevelType w:val="hybridMultilevel"/>
    <w:lvl w:ilvl="0">
      <w:lvlJc w:val="left"/>
      <w:lvlText w:val="(%1)"/>
      <w:numFmt w:val="decimal"/>
      <w:start w:val="90"/>
    </w:lvl>
    <w:lvl w:ilvl="1">
      <w:lvlJc w:val="left"/>
      <w:lvlText w:val="(%2)"/>
      <w:numFmt w:val="lowerLetter"/>
      <w:start w:val="3"/>
    </w:lvl>
    <w:lvl w:ilvl="2">
      <w:lvlJc w:val="left"/>
      <w:lvlText w:val="(%3)"/>
      <w:numFmt w:val="lowerLetter"/>
      <w:start w:val="9"/>
    </w:lvl>
  </w:abstractNum>
  <w:abstractNum w:abstractNumId="41">
    <w:nsid w:val="68B867D3"/>
    <w:multiLevelType w:val="hybridMultilevel"/>
    <w:lvl w:ilvl="0">
      <w:lvlJc w:val="left"/>
      <w:lvlText w:val="(%1)"/>
      <w:numFmt w:val="lowerLetter"/>
      <w:start w:val="1"/>
    </w:lvl>
  </w:abstractNum>
  <w:abstractNum w:abstractNumId="42">
    <w:nsid w:val="3F7F5DD9"/>
    <w:multiLevelType w:val="hybridMultilevel"/>
    <w:lvl w:ilvl="0">
      <w:lvlJc w:val="left"/>
      <w:lvlText w:val="(%1)"/>
      <w:numFmt w:val="lowerLetter"/>
      <w:start w:val="3"/>
    </w:lvl>
  </w:abstractNum>
  <w:abstractNum w:abstractNumId="43">
    <w:nsid w:val="2AE05A34"/>
    <w:multiLevelType w:val="hybridMultilevel"/>
    <w:lvl w:ilvl="0">
      <w:lvlJc w:val="left"/>
      <w:lvlText w:val="%1"/>
      <w:numFmt w:val="decimal"/>
      <w:start w:val="1"/>
    </w:lvl>
    <w:lvl w:ilvl="1">
      <w:lvlJc w:val="left"/>
      <w:lvlText w:val="(%2)"/>
      <w:numFmt w:val="decimal"/>
      <w:start w:val="1"/>
    </w:lvl>
  </w:abstractNum>
  <w:abstractNum w:abstractNumId="44">
    <w:nsid w:val="32794FF7"/>
    <w:multiLevelType w:val="hybridMultilevel"/>
    <w:lvl w:ilvl="0">
      <w:lvlJc w:val="left"/>
      <w:lvlText w:val="(%1)"/>
      <w:numFmt w:val="decimal"/>
      <w:start w:val="2"/>
    </w:lvl>
    <w:lvl w:ilvl="1">
      <w:lvlJc w:val="left"/>
      <w:lvlText w:val="%2"/>
      <w:numFmt w:val="decimal"/>
      <w:start w:val="1"/>
    </w:lvl>
  </w:abstractNum>
  <w:abstractNum w:abstractNumId="45">
    <w:nsid w:val="5454945E"/>
    <w:multiLevelType w:val="hybridMultilevel"/>
    <w:lvl w:ilvl="0">
      <w:lvlJc w:val="left"/>
      <w:lvlText w:val="(%1)"/>
      <w:numFmt w:val="decimal"/>
      <w:start w:val="4"/>
    </w:lvl>
  </w:abstractNum>
  <w:abstractNum w:abstractNumId="46">
    <w:nsid w:val="4DEFDFA0"/>
    <w:multiLevelType w:val="hybridMultilevel"/>
    <w:lvl w:ilvl="0">
      <w:lvlJc w:val="left"/>
      <w:lvlText w:val="(%1)"/>
      <w:numFmt w:val="lowerLetter"/>
      <w:start w:val="1"/>
    </w:lvl>
  </w:abstractNum>
  <w:abstractNum w:abstractNumId="47">
    <w:nsid w:val="2123D5F2"/>
    <w:multiLevelType w:val="hybridMultilevel"/>
    <w:lvl w:ilvl="0">
      <w:lvlJc w:val="left"/>
      <w:lvlText w:val="(%1)"/>
      <w:numFmt w:val="lowerRoman"/>
      <w:start w:val="3"/>
    </w:lvl>
  </w:abstractNum>
  <w:abstractNum w:abstractNumId="48">
    <w:nsid w:val="135B8110"/>
    <w:multiLevelType w:val="hybridMultilevel"/>
    <w:lvl w:ilvl="0">
      <w:lvlJc w:val="left"/>
      <w:lvlText w:val="%1"/>
      <w:numFmt w:val="lowerLetter"/>
      <w:start w:val="1"/>
    </w:lvl>
    <w:lvl w:ilvl="1">
      <w:lvlJc w:val="left"/>
      <w:lvlText w:val="(%2)"/>
      <w:numFmt w:val="lowerLetter"/>
      <w:start w:val="1"/>
    </w:lvl>
  </w:abstractNum>
  <w:abstractNum w:abstractNumId="49">
    <w:nsid w:val="94927A8"/>
    <w:multiLevelType w:val="hybridMultilevel"/>
    <w:lvl w:ilvl="0">
      <w:lvlJc w:val="left"/>
      <w:lvlText w:val="(%1)"/>
      <w:numFmt w:val="lowerLetter"/>
      <w:start w:val="3"/>
    </w:lvl>
    <w:lvl w:ilvl="1">
      <w:lvlJc w:val="left"/>
      <w:lvlText w:val="(%2)"/>
      <w:numFmt w:val="lowerLetter"/>
      <w:start w:val="4"/>
    </w:lvl>
  </w:abstractNum>
  <w:abstractNum w:abstractNumId="50">
    <w:nsid w:val="DCDF8F6"/>
    <w:multiLevelType w:val="hybridMultilevel"/>
    <w:lvl w:ilvl="0">
      <w:lvlJc w:val="left"/>
      <w:lvlText w:val="%1"/>
      <w:numFmt w:val="lowerLetter"/>
      <w:start w:val="1"/>
    </w:lvl>
    <w:lvl w:ilvl="1">
      <w:lvlJc w:val="left"/>
      <w:lvlText w:val="(%2)"/>
      <w:numFmt w:val="lowerLetter"/>
      <w:start w:val="5"/>
    </w:lvl>
  </w:abstractNum>
  <w:abstractNum w:abstractNumId="51">
    <w:nsid w:val="52D7B105"/>
    <w:multiLevelType w:val="hybridMultilevel"/>
    <w:lvl w:ilvl="0">
      <w:lvlJc w:val="left"/>
      <w:lvlText w:val="(%1)"/>
      <w:numFmt w:val="lowerLetter"/>
      <w:start w:val="9"/>
    </w:lvl>
    <w:lvl w:ilvl="1">
      <w:lvlJc w:val="left"/>
      <w:lvlText w:val="(%2)"/>
      <w:numFmt w:val="lowerLetter"/>
      <w:start w:val="11"/>
    </w:lvl>
  </w:abstractNum>
  <w:abstractNum w:abstractNumId="52">
    <w:nsid w:val="2E8A6394"/>
    <w:multiLevelType w:val="hybridMultilevel"/>
    <w:lvl w:ilvl="0">
      <w:lvlJc w:val="left"/>
      <w:lvlText w:val="(%1)"/>
      <w:numFmt w:val="lowerLetter"/>
      <w:start w:val="1"/>
    </w:lvl>
    <w:lvl w:ilvl="1">
      <w:lvlJc w:val="left"/>
      <w:lvlText w:val="(%2)"/>
      <w:numFmt w:val="lowerRoman"/>
      <w:start w:val="1"/>
    </w:lvl>
  </w:abstractNum>
  <w:abstractNum w:abstractNumId="53">
    <w:nsid w:val="24E60401"/>
    <w:multiLevelType w:val="hybridMultilevel"/>
    <w:lvl w:ilvl="0">
      <w:lvlJc w:val="left"/>
      <w:lvlText w:val="(%1)"/>
      <w:numFmt w:val="lowerRoman"/>
      <w:start w:val="3"/>
    </w:lvl>
  </w:abstractNum>
  <w:abstractNum w:abstractNumId="54">
    <w:nsid w:val="2A6AD9BE"/>
    <w:multiLevelType w:val="hybridMultilevel"/>
    <w:lvl w:ilvl="0">
      <w:lvlJc w:val="left"/>
      <w:lvlText w:val="(%1)"/>
      <w:numFmt w:val="lowerLetter"/>
      <w:start w:val="3"/>
    </w:lvl>
  </w:abstractNum>
  <w:abstractNum w:abstractNumId="55">
    <w:nsid w:val="BAAC1B4"/>
    <w:multiLevelType w:val="hybridMultilevel"/>
    <w:lvl w:ilvl="0">
      <w:lvlJc w:val="left"/>
      <w:lvlText w:val="(%1)"/>
      <w:numFmt w:val="lowerLetter"/>
      <w:start w:val="5"/>
    </w:lvl>
  </w:abstractNum>
  <w:abstractNum w:abstractNumId="56">
    <w:nsid w:val="36B2ACBC"/>
    <w:multiLevelType w:val="hybridMultilevel"/>
    <w:lvl w:ilvl="0">
      <w:lvlJc w:val="left"/>
      <w:lvlText w:val="(%1)"/>
      <w:numFmt w:val="lowerLetter"/>
      <w:start w:val="2"/>
    </w:lvl>
  </w:abstractNum>
  <w:abstractNum w:abstractNumId="57">
    <w:nsid w:val="779D8544"/>
    <w:multiLevelType w:val="hybridMultilevel"/>
    <w:lvl w:ilvl="0">
      <w:lvlJc w:val="left"/>
      <w:lvlText w:val="(%1)"/>
      <w:numFmt w:val="lowerLetter"/>
      <w:start w:val="1"/>
    </w:lvl>
  </w:abstractNum>
  <w:abstractNum w:abstractNumId="58">
    <w:nsid w:val="4AB26E78"/>
    <w:multiLevelType w:val="hybridMultilevel"/>
    <w:lvl w:ilvl="0">
      <w:lvlJc w:val="left"/>
      <w:lvlText w:val="(%1)"/>
      <w:numFmt w:val="lowerLetter"/>
      <w:start w:val="1"/>
    </w:lvl>
  </w:abstractNum>
  <w:abstractNum w:abstractNumId="59">
    <w:nsid w:val="21FAA2FA"/>
    <w:multiLevelType w:val="hybridMultilevel"/>
    <w:lvl w:ilvl="0">
      <w:lvlJc w:val="left"/>
      <w:lvlText w:val="(%1)"/>
      <w:numFmt w:val="lowerLetter"/>
      <w:start w:val="1"/>
    </w:lvl>
  </w:abstractNum>
  <w:abstractNum w:abstractNumId="60">
    <w:nsid w:val="5451CF4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1">
    <w:nsid w:val="6181EF6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62">
    <w:nsid w:val="3E6400E6"/>
    <w:multiLevelType w:val="hybridMultilevel"/>
    <w:lvl w:ilvl="0">
      <w:lvlJc w:val="left"/>
      <w:lvlText w:val="(%1)"/>
      <w:numFmt w:val="lowerRoman"/>
      <w:start w:val="2"/>
    </w:lvl>
  </w:abstractNum>
  <w:abstractNum w:abstractNumId="63">
    <w:nsid w:val="14217E23"/>
    <w:multiLevelType w:val="hybridMultilevel"/>
    <w:lvl w:ilvl="0">
      <w:lvlJc w:val="left"/>
      <w:lvlText w:val="%1"/>
      <w:numFmt w:val="lowerLetter"/>
      <w:start w:val="1"/>
    </w:lvl>
    <w:lvl w:ilvl="1">
      <w:lvlJc w:val="left"/>
      <w:lvlText w:val="(%2)"/>
      <w:numFmt w:val="lowerLetter"/>
      <w:start w:val="61"/>
    </w:lvl>
  </w:abstractNum>
  <w:abstractNum w:abstractNumId="64">
    <w:nsid w:val="710757D0"/>
    <w:multiLevelType w:val="hybridMultilevel"/>
    <w:lvl w:ilvl="0">
      <w:lvlJc w:val="left"/>
      <w:lvlText w:val="(%1)"/>
      <w:numFmt w:val="lowerLetter"/>
      <w:start w:val="3"/>
    </w:lvl>
    <w:lvl w:ilvl="1">
      <w:lvlJc w:val="left"/>
      <w:lvlText w:val="%2"/>
      <w:numFmt w:val="lowerLetter"/>
      <w:start w:val="1"/>
    </w:lvl>
  </w:abstractNum>
  <w:abstractNum w:abstractNumId="65">
    <w:nsid w:val="5015CD1A"/>
    <w:multiLevelType w:val="hybridMultilevel"/>
    <w:lvl w:ilvl="0">
      <w:lvlJc w:val="left"/>
      <w:lvlText w:val="%1"/>
      <w:numFmt w:val="decimal"/>
      <w:start w:val="1"/>
    </w:lvl>
    <w:lvl w:ilvl="1">
      <w:lvlJc w:val="left"/>
      <w:lvlText w:val="(%2)"/>
      <w:numFmt w:val="lowerLetter"/>
      <w:start w:val="1"/>
    </w:lvl>
  </w:abstractNum>
  <w:abstractNum w:abstractNumId="66">
    <w:nsid w:val="424479DA"/>
    <w:multiLevelType w:val="hybridMultilevel"/>
    <w:lvl w:ilvl="0">
      <w:lvlJc w:val="left"/>
      <w:lvlText w:val="(%1)"/>
      <w:numFmt w:val="decimal"/>
      <w:start w:val="3"/>
    </w:lvl>
    <w:lvl w:ilvl="1">
      <w:lvlJc w:val="left"/>
      <w:lvlText w:val="%2"/>
      <w:numFmt w:val="lowerLetter"/>
      <w:start w:val="1"/>
    </w:lvl>
  </w:abstractNum>
  <w:abstractNum w:abstractNumId="67">
    <w:nsid w:val="1A9A9E69"/>
    <w:multiLevelType w:val="hybridMultilevel"/>
    <w:lvl w:ilvl="0">
      <w:lvlJc w:val="left"/>
      <w:lvlText w:val="(%1)"/>
      <w:numFmt w:val="lowerLetter"/>
      <w:start w:val="2"/>
    </w:lvl>
  </w:abstractNum>
  <w:abstractNum w:abstractNumId="68">
    <w:nsid w:val="475E256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9">
    <w:nsid w:val="368DB37E"/>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2"/>
    </w:lvl>
  </w:abstractNum>
  <w:abstractNum w:abstractNumId="70">
    <w:nsid w:val="6A3B714C"/>
    <w:multiLevelType w:val="hybridMultilevel"/>
    <w:lvl w:ilvl="0">
      <w:lvlJc w:val="left"/>
      <w:lvlText w:val="(%1)"/>
      <w:numFmt w:val="lowerLetter"/>
      <w:start w:val="4"/>
    </w:lvl>
  </w:abstractNum>
  <w:abstractNum w:abstractNumId="71">
    <w:nsid w:val="327B517E"/>
    <w:multiLevelType w:val="hybridMultilevel"/>
    <w:lvl w:ilvl="0">
      <w:lvlJc w:val="left"/>
      <w:lvlText w:val="(%1)"/>
      <w:numFmt w:val="lowerLetter"/>
      <w:start w:val="5"/>
    </w:lvl>
  </w:abstractNum>
  <w:abstractNum w:abstractNumId="72">
    <w:nsid w:val="1F461B51"/>
    <w:multiLevelType w:val="hybridMultilevel"/>
    <w:lvl w:ilvl="0">
      <w:lvlJc w:val="left"/>
      <w:lvlText w:val="(%1)"/>
      <w:numFmt w:val="lowerLetter"/>
      <w:start w:val="1"/>
    </w:lvl>
  </w:abstractNum>
  <w:abstractNum w:abstractNumId="73">
    <w:nsid w:val="29BACF25"/>
    <w:multiLevelType w:val="hybridMultilevel"/>
    <w:lvl w:ilvl="0">
      <w:lvlJc w:val="left"/>
      <w:lvlText w:val="(%1)"/>
      <w:numFmt w:val="lowerLetter"/>
      <w:start w:val="1"/>
    </w:lvl>
  </w:abstractNum>
  <w:abstractNum w:abstractNumId="74">
    <w:nsid w:val="5D5BABB3"/>
    <w:multiLevelType w:val="hybridMultilevel"/>
    <w:lvl w:ilvl="0">
      <w:lvlJc w:val="left"/>
      <w:lvlText w:val="(%1)"/>
      <w:numFmt w:val="lowerLetter"/>
      <w:start w:val="2"/>
    </w:lvl>
  </w:abstractNum>
  <w:abstractNum w:abstractNumId="75">
    <w:nsid w:val="51BF6B48"/>
    <w:multiLevelType w:val="hybridMultilevel"/>
    <w:lvl w:ilvl="0">
      <w:lvlJc w:val="left"/>
      <w:lvlText w:val="(%1)"/>
      <w:numFmt w:val="lowerLetter"/>
      <w:start w:val="1"/>
    </w:lvl>
  </w:abstractNum>
  <w:abstractNum w:abstractNumId="76">
    <w:nsid w:val="7E0F6384"/>
    <w:multiLevelType w:val="hybridMultilevel"/>
    <w:lvl w:ilvl="0">
      <w:lvlJc w:val="left"/>
      <w:lvlText w:val="(%1)"/>
      <w:numFmt w:val="lowerLetter"/>
      <w:start w:val="1"/>
    </w:lvl>
  </w:abstractNum>
  <w:abstractNum w:abstractNumId="77">
    <w:nsid w:val="2B4B8B53"/>
    <w:multiLevelType w:val="hybridMultilevel"/>
    <w:lvl w:ilvl="0">
      <w:lvlJc w:val="left"/>
      <w:lvlText w:val="%1"/>
      <w:numFmt w:val="upperLetter"/>
      <w:start w:val="1"/>
    </w:lvl>
    <w:lvl w:ilvl="1">
      <w:lvlJc w:val="left"/>
      <w:lvlText w:val="(%2)"/>
      <w:numFmt w:val="lowerLetter"/>
      <w:start w:val="2"/>
    </w:lvl>
  </w:abstractNum>
  <w:abstractNum w:abstractNumId="78">
    <w:nsid w:val="72E3413A"/>
    <w:multiLevelType w:val="hybridMultilevel"/>
    <w:lvl w:ilvl="0">
      <w:lvlJc w:val="left"/>
      <w:lvlText w:val="(%1)"/>
      <w:numFmt w:val="upperLetter"/>
      <w:start w:val="2"/>
    </w:lvl>
    <w:lvl w:ilvl="1">
      <w:lvlJc w:val="left"/>
      <w:lvlText w:val="(%2)"/>
      <w:numFmt w:val="lowerLetter"/>
      <w:start w:val="3"/>
    </w:lvl>
  </w:abstractNum>
  <w:abstractNum w:abstractNumId="79">
    <w:nsid w:val="116AE494"/>
    <w:multiLevelType w:val="hybridMultilevel"/>
    <w:lvl w:ilvl="0">
      <w:lvlJc w:val="left"/>
      <w:lvlText w:val="(%1)"/>
      <w:numFmt w:val="lowerLetter"/>
      <w:start w:val="1"/>
    </w:lvl>
  </w:abstractNum>
  <w:abstractNum w:abstractNumId="80">
    <w:nsid w:val="3494B2FB"/>
    <w:multiLevelType w:val="hybridMultilevel"/>
    <w:lvl w:ilvl="0">
      <w:lvlJc w:val="left"/>
      <w:lvlText w:val="(%1)"/>
      <w:numFmt w:val="lowerLetter"/>
      <w:start w:val="1"/>
    </w:lvl>
  </w:abstractNum>
  <w:abstractNum w:abstractNumId="81">
    <w:nsid w:val="B13A31"/>
    <w:multiLevelType w:val="hybridMultilevel"/>
    <w:lvl w:ilvl="0">
      <w:lvlJc w:val="left"/>
      <w:lvlText w:val="(%1)"/>
      <w:numFmt w:val="lowerLetter"/>
      <w:start w:val="1"/>
    </w:lvl>
  </w:abstractNum>
  <w:abstractNum w:abstractNumId="82">
    <w:nsid w:val="64429599"/>
    <w:multiLevelType w:val="hybridMultilevel"/>
    <w:lvl w:ilvl="0">
      <w:lvlJc w:val="left"/>
      <w:lvlText w:val="(%1)"/>
      <w:numFmt w:val="lowerLetter"/>
      <w:start w:val="2"/>
    </w:lvl>
  </w:abstractNum>
  <w:abstractNum w:abstractNumId="83">
    <w:nsid w:val="631F1690"/>
    <w:multiLevelType w:val="hybridMultilevel"/>
    <w:lvl w:ilvl="0">
      <w:lvlJc w:val="left"/>
      <w:lvlText w:val="(%1)"/>
      <w:numFmt w:val="lowerLetter"/>
      <w:start w:val="1"/>
    </w:lvl>
  </w:abstractNum>
  <w:abstractNum w:abstractNumId="84">
    <w:nsid w:val="25973E32"/>
    <w:multiLevelType w:val="hybridMultilevel"/>
    <w:lvl w:ilvl="0">
      <w:lvlJc w:val="left"/>
      <w:lvlText w:val="(%1)"/>
      <w:numFmt w:val="lowerRoman"/>
      <w:start w:val="1"/>
    </w:lvl>
  </w:abstractNum>
  <w:abstractNum w:abstractNumId="85">
    <w:nsid w:val="EAD6F5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86">
    <w:nsid w:val="6EC9D844"/>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abstractNum>
  <w:abstractNum w:abstractNumId="87">
    <w:nsid w:val="5C49EAE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88">
    <w:nsid w:val="64AF49B"/>
    <w:multiLevelType w:val="hybridMultilevel"/>
    <w:lvl w:ilvl="0">
      <w:lvlJc w:val="left"/>
      <w:lvlText w:val="(%1)"/>
      <w:numFmt w:val="upperLetter"/>
      <w:start w:val="3"/>
    </w:lvl>
  </w:abstractNum>
  <w:abstractNum w:abstractNumId="89">
    <w:nsid w:val="397C46BC"/>
    <w:multiLevelType w:val="hybridMultilevel"/>
    <w:lvl w:ilvl="0">
      <w:lvlJc w:val="left"/>
      <w:lvlText w:val="(%1)"/>
      <w:numFmt w:val="lowerRoman"/>
      <w:start w:val="6"/>
    </w:lvl>
  </w:abstractNum>
  <w:abstractNum w:abstractNumId="90">
    <w:nsid w:val="7E448DE9"/>
    <w:multiLevelType w:val="hybridMultilevel"/>
    <w:lvl w:ilvl="0">
      <w:lvlJc w:val="left"/>
      <w:lvlText w:val="%1"/>
      <w:numFmt w:val="upperLetter"/>
      <w:start w:val="1"/>
    </w:lvl>
    <w:lvl w:ilvl="1">
      <w:lvlJc w:val="left"/>
      <w:lvlText w:val="(%2)"/>
      <w:numFmt w:val="lowerLetter"/>
      <w:start w:val="1"/>
    </w:lvl>
  </w:abstractNum>
  <w:abstractNum w:abstractNumId="91">
    <w:nsid w:val="5A9CC3E5"/>
    <w:multiLevelType w:val="hybridMultilevel"/>
    <w:lvl w:ilvl="0">
      <w:lvlJc w:val="left"/>
      <w:lvlText w:val="(%1)"/>
      <w:numFmt w:val="upperLetter"/>
      <w:start w:val="1"/>
    </w:lvl>
    <w:lvl w:ilvl="1">
      <w:lvlJc w:val="left"/>
      <w:lvlText w:val="(%2)"/>
      <w:numFmt w:val="lowerLetter"/>
      <w:start w:val="3"/>
    </w:lvl>
  </w:abstractNum>
  <w:abstractNum w:abstractNumId="92">
    <w:nsid w:val="1AFE3625"/>
    <w:multiLevelType w:val="hybridMultilevel"/>
    <w:lvl w:ilvl="0">
      <w:lvlJc w:val="left"/>
      <w:lvlText w:val="(%1)"/>
      <w:numFmt w:val="lowerLetter"/>
      <w:start w:val="1"/>
    </w:lvl>
  </w:abstractNum>
  <w:abstractNum w:abstractNumId="93">
    <w:nsid w:val="3CA88ECF"/>
    <w:multiLevelType w:val="hybridMultilevel"/>
    <w:lvl w:ilvl="0">
      <w:lvlJc w:val="left"/>
      <w:lvlText w:val="(%1)"/>
      <w:numFmt w:val="lowerLetter"/>
      <w:start w:val="1"/>
    </w:lvl>
  </w:abstractNum>
  <w:abstractNum w:abstractNumId="94">
    <w:nsid w:val="6EBE4208"/>
    <w:multiLevelType w:val="hybridMultilevel"/>
    <w:lvl w:ilvl="0">
      <w:lvlJc w:val="left"/>
      <w:lvlText w:val="(%1)"/>
      <w:numFmt w:val="lowerLetter"/>
      <w:start w:val="1"/>
    </w:lvl>
  </w:abstractNum>
  <w:abstractNum w:abstractNumId="95">
    <w:nsid w:val="C058DF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96">
    <w:nsid w:val="CBE5B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7">
    <w:nsid w:val="3102BBE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98">
    <w:nsid w:val="26A02C5E"/>
    <w:multiLevelType w:val="hybridMultilevel"/>
    <w:lvl w:ilvl="0">
      <w:lvlJc w:val="left"/>
      <w:lvlText w:val="(%1)"/>
      <w:numFmt w:val="lowerLetter"/>
      <w:start w:val="1"/>
    </w:lvl>
  </w:abstractNum>
  <w:abstractNum w:abstractNumId="99">
    <w:nsid w:val="541C8153"/>
    <w:multiLevelType w:val="hybridMultilevel"/>
    <w:lvl w:ilvl="0">
      <w:lvlJc w:val="left"/>
      <w:lvlText w:val="(%1)"/>
      <w:numFmt w:val="upperLetter"/>
      <w:start w:val="2"/>
    </w:lvl>
    <w:lvl w:ilvl="1">
      <w:lvlJc w:val="left"/>
      <w:lvlText w:val="(%2)"/>
      <w:numFmt w:val="lowerLetter"/>
      <w:start w:val="2"/>
    </w:lvl>
  </w:abstractNum>
  <w:abstractNum w:abstractNumId="100">
    <w:nsid w:val="67906F60"/>
    <w:multiLevelType w:val="hybridMultilevel"/>
    <w:lvl w:ilvl="0">
      <w:lvlJc w:val="left"/>
      <w:lvlText w:val="(%1)"/>
      <w:numFmt w:val="lowerRoman"/>
      <w:start w:val="1"/>
    </w:lvl>
  </w:abstractNum>
  <w:abstractNum w:abstractNumId="101">
    <w:nsid w:val="10DB9DAA"/>
    <w:multiLevelType w:val="hybridMultilevel"/>
    <w:lvl w:ilvl="0">
      <w:lvlJc w:val="left"/>
      <w:lvlText w:val="(%1)"/>
      <w:numFmt w:val="lowerLetter"/>
      <w:start w:val="1"/>
    </w:lvl>
    <w:lvl w:ilvl="1">
      <w:lvlJc w:val="left"/>
      <w:lvlText w:val="(%2)"/>
      <w:numFmt w:val="lowerLetter"/>
      <w:start w:val="9"/>
    </w:lvl>
  </w:abstractNum>
  <w:abstractNum w:abstractNumId="102">
    <w:nsid w:val="697D2D2"/>
    <w:multiLevelType w:val="hybridMultilevel"/>
    <w:lvl w:ilvl="0">
      <w:lvlJc w:val="left"/>
      <w:lvlText w:val="(%1)"/>
      <w:numFmt w:val="lowerRoman"/>
      <w:start w:val="2"/>
    </w:lvl>
  </w:abstractNum>
  <w:abstractNum w:abstractNumId="103">
    <w:nsid w:val="6D68AB2"/>
    <w:multiLevelType w:val="hybridMultilevel"/>
    <w:lvl w:ilvl="0">
      <w:lvlJc w:val="left"/>
      <w:lvlText w:val="(%1)"/>
      <w:numFmt w:val="lowerLetter"/>
      <w:start w:val="2"/>
    </w:lvl>
    <w:lvl w:ilvl="1">
      <w:lvlJc w:val="left"/>
      <w:lvlText w:val="(%2)"/>
      <w:numFmt w:val="lowerLetter"/>
      <w:start w:val="3"/>
    </w:lvl>
  </w:abstractNum>
  <w:abstractNum w:abstractNumId="104">
    <w:nsid w:val="3A966CD0"/>
    <w:multiLevelType w:val="hybridMultilevel"/>
    <w:lvl w:ilvl="0">
      <w:lvlJc w:val="left"/>
      <w:lvlText w:val="(%1)"/>
      <w:numFmt w:val="lowerLetter"/>
      <w:start w:val="1"/>
    </w:lvl>
  </w:abstractNum>
  <w:abstractNum w:abstractNumId="105">
    <w:nsid w:val="63F37E85"/>
    <w:multiLevelType w:val="hybridMultilevel"/>
    <w:lvl w:ilvl="0">
      <w:lvlJc w:val="left"/>
      <w:lvlText w:val="(%1)"/>
      <w:numFmt w:val="lowerLetter"/>
      <w:start w:val="5"/>
    </w:lvl>
    <w:lvl w:ilvl="1">
      <w:lvlJc w:val="left"/>
      <w:lvlText w:val="(%2)"/>
      <w:numFmt w:val="lowerLetter"/>
      <w:start w:val="9"/>
    </w:lvl>
  </w:abstractNum>
  <w:abstractNum w:abstractNumId="106">
    <w:nsid w:val="5895F5F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07">
    <w:nsid w:val="38A5D054"/>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abstractNum>
  <w:abstractNum w:abstractNumId="108">
    <w:nsid w:val="F3F09D8"/>
    <w:multiLevelType w:val="hybridMultilevel"/>
    <w:lvl w:ilvl="0">
      <w:lvlJc w:val="left"/>
      <w:lvlText w:val="(%1)"/>
      <w:numFmt w:val="lowerLetter"/>
      <w:start w:val="25"/>
    </w:lvl>
    <w:lvl w:ilvl="1">
      <w:lvlJc w:val="left"/>
      <w:lvlText w:val="(%2)"/>
      <w:numFmt w:val="decimal"/>
      <w:start w:val="4"/>
    </w:lvl>
    <w:lvl w:ilvl="2">
      <w:lvlJc w:val="left"/>
      <w:lvlText w:val="%3"/>
      <w:numFmt w:val="decimal"/>
      <w:start w:val="1"/>
    </w:lvl>
  </w:abstractNum>
  <w:abstractNum w:abstractNumId="109">
    <w:nsid w:val="4B793735"/>
    <w:multiLevelType w:val="hybridMultilevel"/>
    <w:lvl w:ilvl="0">
      <w:lvlJc w:val="left"/>
      <w:lvlText w:val="(%1)"/>
      <w:numFmt w:val="upperLetter"/>
      <w:start w:val="3"/>
    </w:lvl>
  </w:abstractNum>
  <w:abstractNum w:abstractNumId="110">
    <w:nsid w:val="4A10B4E8"/>
    <w:multiLevelType w:val="hybridMultilevel"/>
    <w:lvl w:ilvl="0">
      <w:lvlJc w:val="left"/>
      <w:lvlText w:val="(%1)"/>
      <w:numFmt w:val="lowerLetter"/>
      <w:start w:val="8"/>
    </w:lvl>
  </w:abstractNum>
  <w:abstractNum w:abstractNumId="111">
    <w:nsid w:val="43D3BCD4"/>
    <w:multiLevelType w:val="hybridMultilevel"/>
    <w:lvl w:ilvl="0">
      <w:lvlJc w:val="left"/>
      <w:lvlText w:val="(%1)"/>
      <w:numFmt w:val="lowerRoman"/>
      <w:start w:val="1"/>
    </w:lvl>
  </w:abstractNum>
  <w:abstractNum w:abstractNumId="112">
    <w:nsid w:val="4C2A7166"/>
    <w:multiLevelType w:val="hybridMultilevel"/>
    <w:lvl w:ilvl="0">
      <w:lvlJc w:val="left"/>
      <w:lvlText w:val="(%1)"/>
      <w:numFmt w:val="lowerLetter"/>
      <w:start w:val="10"/>
    </w:lvl>
  </w:abstractNum>
  <w:abstractNum w:abstractNumId="113">
    <w:nsid w:val="2E534A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4">
    <w:nsid w:val="26F2D364"/>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15">
    <w:nsid w:val="71C1AF98"/>
    <w:multiLevelType w:val="hybridMultilevel"/>
    <w:lvl w:ilvl="0">
      <w:lvlJc w:val="left"/>
      <w:lvlText w:val="(%1)"/>
      <w:numFmt w:val="lowerRoman"/>
      <w:start w:val="2"/>
    </w:lvl>
    <w:lvl w:ilvl="1">
      <w:lvlJc w:val="left"/>
      <w:lvlText w:val="(%2)"/>
      <w:numFmt w:val="lowerRoman"/>
      <w:start w:val="3"/>
    </w:lvl>
  </w:abstractNum>
  <w:abstractNum w:abstractNumId="116">
    <w:nsid w:val="3D00B9D9"/>
    <w:multiLevelType w:val="hybridMultilevel"/>
    <w:lvl w:ilvl="0">
      <w:lvlJc w:val="left"/>
      <w:lvlText w:val="(%1)"/>
      <w:numFmt w:val="lowerLetter"/>
      <w:start w:val="1"/>
    </w:lvl>
    <w:lvl w:ilvl="1">
      <w:lvlJc w:val="left"/>
      <w:lvlText w:val="(%2)"/>
      <w:numFmt w:val="lowerLetter"/>
      <w:start w:val="9"/>
    </w:lvl>
  </w:abstractNum>
  <w:abstractNum w:abstractNumId="117">
    <w:nsid w:val="15BCABA8"/>
    <w:multiLevelType w:val="hybridMultilevel"/>
    <w:lvl w:ilvl="0">
      <w:lvlJc w:val="left"/>
      <w:lvlText w:val="(%1)"/>
      <w:numFmt w:val="lowerRoman"/>
      <w:start w:val="2"/>
    </w:lvl>
  </w:abstractNum>
  <w:abstractNum w:abstractNumId="118">
    <w:nsid w:val="4E0B9A87"/>
    <w:multiLevelType w:val="hybridMultilevel"/>
    <w:lvl w:ilvl="0">
      <w:lvlJc w:val="left"/>
      <w:lvlText w:val="(%1)"/>
      <w:numFmt w:val="decimal"/>
      <w:start w:val="1"/>
    </w:lvl>
    <w:lvl w:ilvl="1">
      <w:lvlJc w:val="left"/>
      <w:lvlText w:val="(%2)"/>
      <w:numFmt w:val="lowerLetter"/>
      <w:start w:val="24"/>
    </w:lvl>
    <w:lvl w:ilvl="2">
      <w:lvlJc w:val="left"/>
      <w:lvlText w:val="(%3)"/>
      <w:numFmt w:val="upperLetter"/>
      <w:start w:val="1"/>
    </w:lvl>
  </w:abstractNum>
  <w:abstractNum w:abstractNumId="119">
    <w:nsid w:val="434BAE75"/>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120">
    <w:nsid w:val="4F38F265"/>
    <w:multiLevelType w:val="hybridMultilevel"/>
    <w:lvl w:ilvl="0">
      <w:lvlJc w:val="left"/>
      <w:lvlText w:val="%1"/>
      <w:numFmt w:val="upperLetter"/>
      <w:start w:val="1"/>
    </w:lvl>
    <w:lvl w:ilvl="1">
      <w:lvlJc w:val="left"/>
      <w:lvlText w:val="(%2)"/>
      <w:numFmt w:val="upperLetter"/>
      <w:start w:val="4"/>
    </w:lvl>
    <w:lvl w:ilvl="2">
      <w:lvlJc w:val="left"/>
      <w:lvlText w:val="%3"/>
      <w:numFmt w:val="lowerLetter"/>
      <w:start w:val="1"/>
    </w:lvl>
  </w:abstractNum>
  <w:abstractNum w:abstractNumId="121">
    <w:nsid w:val="4C502870"/>
    <w:multiLevelType w:val="hybridMultilevel"/>
    <w:lvl w:ilvl="0">
      <w:lvlJc w:val="left"/>
      <w:lvlText w:val="(%1)"/>
      <w:numFmt w:val="upperLetter"/>
      <w:start w:val="6"/>
    </w:lvl>
    <w:lvl w:ilvl="1">
      <w:lvlJc w:val="left"/>
      <w:lvlText w:val="%2"/>
      <w:numFmt w:val="upperLetter"/>
      <w:start w:val="1"/>
    </w:lvl>
    <w:lvl w:ilvl="2">
      <w:lvlJc w:val="left"/>
      <w:lvlText w:val="(%3)"/>
      <w:numFmt w:val="lowerLetter"/>
      <w:start w:val="1"/>
    </w:lvl>
  </w:abstractNum>
  <w:abstractNum w:abstractNumId="122">
    <w:nsid w:val="1DE8725A"/>
    <w:multiLevelType w:val="hybridMultilevel"/>
    <w:lvl w:ilvl="0">
      <w:lvlJc w:val="left"/>
      <w:lvlText w:val="%1"/>
      <w:numFmt w:val="decimal"/>
      <w:start w:val="1"/>
    </w:lvl>
    <w:lvl w:ilvl="1">
      <w:lvlJc w:val="left"/>
      <w:lvlText w:val="(%2)"/>
      <w:numFmt w:val="lowerLetter"/>
      <w:start w:val="2"/>
    </w:lvl>
  </w:abstractNum>
  <w:abstractNum w:abstractNumId="123">
    <w:nsid w:val="6A37288A"/>
    <w:multiLevelType w:val="hybridMultilevel"/>
    <w:lvl w:ilvl="0">
      <w:lvlJc w:val="left"/>
      <w:lvlText w:val="(%1)"/>
      <w:numFmt w:val="decimal"/>
      <w:start w:val="2"/>
    </w:lvl>
    <w:lvl w:ilvl="1">
      <w:lvlJc w:val="left"/>
      <w:lvlText w:val="(%2)"/>
      <w:numFmt w:val="lowerLetter"/>
      <w:start w:val="1"/>
    </w:lvl>
  </w:abstractNum>
  <w:abstractNum w:abstractNumId="124">
    <w:nsid w:val="8F8B73F"/>
    <w:multiLevelType w:val="hybridMultilevel"/>
    <w:lvl w:ilvl="0">
      <w:lvlJc w:val="left"/>
      <w:lvlText w:val="%1"/>
      <w:numFmt w:val="decimal"/>
      <w:start w:val="1"/>
    </w:lvl>
    <w:lvl w:ilvl="1">
      <w:lvlJc w:val="left"/>
      <w:lvlText w:val="(%2)"/>
      <w:numFmt w:val="upperLetter"/>
      <w:start w:val="7"/>
    </w:lvl>
  </w:abstractNum>
  <w:abstractNum w:abstractNumId="125">
    <w:nsid w:val="CA6B462"/>
    <w:multiLevelType w:val="hybridMultilevel"/>
    <w:lvl w:ilvl="0">
      <w:lvlJc w:val="left"/>
      <w:lvlText w:val="(%1)"/>
      <w:numFmt w:val="decimal"/>
      <w:start w:val="2"/>
    </w:lvl>
    <w:lvl w:ilvl="1">
      <w:lvlJc w:val="left"/>
      <w:lvlText w:val="%2"/>
      <w:numFmt w:val="upperLetter"/>
      <w:start w:val="1"/>
    </w:lvl>
  </w:abstractNum>
  <w:abstractNum w:abstractNumId="126">
    <w:nsid w:val="763CB680"/>
    <w:multiLevelType w:val="hybridMultilevel"/>
    <w:lvl w:ilvl="0">
      <w:lvlJc w:val="left"/>
      <w:lvlText w:val="(%1)"/>
      <w:numFmt w:val="upperLetter"/>
      <w:start w:val="8"/>
    </w:lvl>
  </w:abstractNum>
  <w:abstractNum w:abstractNumId="127">
    <w:nsid w:val="15B7132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9"/>
    </w:lvl>
  </w:abstractNum>
  <w:abstractNum w:abstractNumId="128">
    <w:nsid w:val="3DA9704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5"/>
    </w:lvl>
    <w:lvl w:ilvl="3">
      <w:lvlJc w:val="left"/>
      <w:lvlText w:val="%4"/>
      <w:numFmt w:val="upperLetter"/>
      <w:start w:val="1"/>
    </w:lvl>
  </w:abstractNum>
  <w:abstractNum w:abstractNumId="129">
    <w:nsid w:val="1CDCE2D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30">
    <w:nsid w:val="69D3947C"/>
    <w:multiLevelType w:val="hybridMultilevel"/>
    <w:lvl w:ilvl="0">
      <w:lvlJc w:val="left"/>
      <w:lvlText w:val="%1"/>
      <w:numFmt w:val="lowerLetter"/>
      <w:start w:val="1"/>
    </w:lvl>
    <w:lvl w:ilvl="1">
      <w:lvlJc w:val="left"/>
      <w:lvlText w:val="(%2)"/>
      <w:numFmt w:val="lowerLetter"/>
      <w:start w:val="1"/>
    </w:lvl>
  </w:abstractNum>
  <w:abstractNum w:abstractNumId="131">
    <w:nsid w:val="2539DFA5"/>
    <w:multiLevelType w:val="hybridMultilevel"/>
    <w:lvl w:ilvl="0">
      <w:lvlJc w:val="left"/>
      <w:lvlText w:val="(%1)"/>
      <w:numFmt w:val="lowerLetter"/>
      <w:start w:val="9"/>
    </w:lvl>
    <w:lvl w:ilvl="1">
      <w:lvlJc w:val="left"/>
      <w:lvlText w:val="%2"/>
      <w:numFmt w:val="lowerLetter"/>
      <w:start w:val="1"/>
    </w:lvl>
  </w:abstractNum>
  <w:abstractNum w:abstractNumId="132">
    <w:nsid w:val="2DB88089"/>
    <w:multiLevelType w:val="hybridMultilevel"/>
    <w:lvl w:ilvl="0">
      <w:lvlJc w:val="left"/>
      <w:lvlText w:val="(%1)"/>
      <w:numFmt w:val="lowerLetter"/>
      <w:start w:val="1"/>
    </w:lvl>
    <w:lvl w:ilvl="1">
      <w:lvlJc w:val="left"/>
      <w:lvlText w:val="(%2)"/>
      <w:numFmt w:val="lowerLetter"/>
      <w:start w:val="9"/>
    </w:lvl>
  </w:abstractNum>
  <w:abstractNum w:abstractNumId="133">
    <w:nsid w:val="706B674E"/>
    <w:multiLevelType w:val="hybridMultilevel"/>
    <w:lvl w:ilvl="0">
      <w:lvlJc w:val="left"/>
      <w:lvlText w:val="(%1)"/>
      <w:numFmt w:val="lowerRoman"/>
      <w:start w:val="2"/>
    </w:lvl>
  </w:abstractNum>
  <w:abstractNum w:abstractNumId="134">
    <w:nsid w:val="2C106A57"/>
    <w:multiLevelType w:val="hybridMultilevel"/>
    <w:lvl w:ilvl="0">
      <w:lvlJc w:val="left"/>
      <w:lvlText w:val="(%1)"/>
      <w:numFmt w:val="lowerRoman"/>
      <w:start w:val="3"/>
    </w:lvl>
    <w:lvl w:ilvl="1">
      <w:lvlJc w:val="left"/>
      <w:lvlText w:val="(%2)"/>
      <w:numFmt w:val="upperLetter"/>
      <w:start w:val="1"/>
    </w:lvl>
  </w:abstractNum>
  <w:abstractNum w:abstractNumId="135">
    <w:nsid w:val="684EED59"/>
    <w:multiLevelType w:val="hybridMultilevel"/>
    <w:lvl w:ilvl="0">
      <w:lvlJc w:val="left"/>
      <w:lvlText w:val="%1"/>
      <w:numFmt w:val="lowerRoman"/>
      <w:start w:val="1"/>
    </w:lvl>
    <w:lvl w:ilvl="1">
      <w:lvlJc w:val="left"/>
      <w:lvlText w:val="(%2)"/>
      <w:numFmt w:val="upperLetter"/>
      <w:start w:val="3"/>
    </w:lvl>
  </w:abstractNum>
  <w:abstractNum w:abstractNumId="136">
    <w:nsid w:val="545EE5D3"/>
    <w:multiLevelType w:val="hybridMultilevel"/>
    <w:lvl w:ilvl="0">
      <w:lvlJc w:val="left"/>
      <w:lvlText w:val="(%1)"/>
      <w:numFmt w:val="lowerRoman"/>
      <w:start w:val="4"/>
    </w:lvl>
    <w:lvl w:ilvl="1">
      <w:lvlJc w:val="left"/>
      <w:lvlText w:val="%2"/>
      <w:numFmt w:val="upperLetter"/>
      <w:start w:val="1"/>
    </w:lvl>
  </w:abstractNum>
  <w:abstractNum w:abstractNumId="137">
    <w:nsid w:val="4A66051"/>
    <w:multiLevelType w:val="hybridMultilevel"/>
    <w:lvl w:ilvl="0">
      <w:lvlJc w:val="left"/>
      <w:lvlText w:val="%1"/>
      <w:numFmt w:val="lowerLetter"/>
      <w:start w:val="1"/>
    </w:lvl>
    <w:lvl w:ilvl="1">
      <w:lvlJc w:val="left"/>
      <w:lvlText w:val="(%2)"/>
      <w:numFmt w:val="lowerLetter"/>
      <w:start w:val="22"/>
    </w:lvl>
  </w:abstractNum>
  <w:abstractNum w:abstractNumId="138">
    <w:nsid w:val="20F4BDAD"/>
    <w:multiLevelType w:val="hybridMultilevel"/>
    <w:lvl w:ilvl="0">
      <w:lvlJc w:val="left"/>
      <w:lvlText w:val="(%1)"/>
      <w:numFmt w:val="lowerLetter"/>
      <w:start w:val="2"/>
    </w:lvl>
    <w:lvl w:ilvl="1">
      <w:lvlJc w:val="left"/>
      <w:lvlText w:val="%2"/>
      <w:numFmt w:val="lowerLetter"/>
      <w:start w:val="1"/>
    </w:lvl>
  </w:abstractNum>
  <w:abstractNum w:abstractNumId="139">
    <w:nsid w:val="639DEFAC"/>
    <w:multiLevelType w:val="hybridMultilevel"/>
    <w:lvl w:ilvl="0">
      <w:lvlJc w:val="left"/>
      <w:lvlText w:val="(%1)"/>
      <w:numFmt w:val="lowerLetter"/>
      <w:start w:val="1"/>
    </w:lvl>
    <w:lvl w:ilvl="1">
      <w:lvlJc w:val="left"/>
      <w:lvlText w:val="(%2)"/>
      <w:numFmt w:val="lowerLetter"/>
      <w:start w:val="9"/>
    </w:lvl>
  </w:abstractNum>
  <w:abstractNum w:abstractNumId="140">
    <w:nsid w:val="501F9786"/>
    <w:multiLevelType w:val="hybridMultilevel"/>
    <w:lvl w:ilvl="0">
      <w:lvlJc w:val="left"/>
      <w:lvlText w:val="(%1)"/>
      <w:numFmt w:val="upperLetter"/>
      <w:start w:val="1"/>
    </w:lvl>
    <w:lvl w:ilvl="1">
      <w:lvlJc w:val="left"/>
      <w:lvlText w:val="%2"/>
      <w:numFmt w:val="lowerRoman"/>
      <w:start w:val="1"/>
    </w:lvl>
  </w:abstractNum>
  <w:abstractNum w:abstractNumId="141">
    <w:nsid w:val="6B057295"/>
    <w:multiLevelType w:val="hybridMultilevel"/>
    <w:lvl w:ilvl="0">
      <w:lvlJc w:val="left"/>
      <w:lvlText w:val="(%1)"/>
      <w:numFmt w:val="upperLetter"/>
      <w:start w:val="5"/>
    </w:lvl>
    <w:lvl w:ilvl="1">
      <w:lvlJc w:val="left"/>
      <w:lvlText w:val="(%2)"/>
      <w:numFmt w:val="lowerRoman"/>
      <w:start w:val="2"/>
    </w:lvl>
  </w:abstractNum>
  <w:abstractNum w:abstractNumId="142">
    <w:nsid w:val="2771AC80"/>
    <w:multiLevelType w:val="hybridMultilevel"/>
    <w:lvl w:ilvl="0">
      <w:lvlJc w:val="left"/>
      <w:lvlText w:val="(%1)"/>
      <w:numFmt w:val="lowerLetter"/>
      <w:start w:val="3"/>
    </w:lvl>
    <w:lvl w:ilvl="1">
      <w:lvlJc w:val="left"/>
      <w:lvlText w:val="(%2)"/>
      <w:numFmt w:val="lowerRoman"/>
      <w:start w:val="1"/>
    </w:lvl>
  </w:abstractNum>
  <w:abstractNum w:abstractNumId="143">
    <w:nsid w:val="1C4A08EC"/>
    <w:multiLevelType w:val="hybridMultilevel"/>
    <w:lvl w:ilvl="0">
      <w:lvlJc w:val="left"/>
      <w:lvlText w:val="%1"/>
      <w:numFmt w:val="lowerRoman"/>
      <w:start w:val="1"/>
    </w:lvl>
    <w:lvl w:ilvl="1">
      <w:lvlJc w:val="left"/>
      <w:lvlText w:val="(%2)"/>
      <w:numFmt w:val="lowerRoman"/>
      <w:start w:val="3"/>
    </w:lvl>
  </w:abstractNum>
  <w:abstractNum w:abstractNumId="144">
    <w:nsid w:val="1958BD17"/>
    <w:multiLevelType w:val="hybridMultilevel"/>
    <w:lvl w:ilvl="0">
      <w:lvlJc w:val="left"/>
      <w:lvlText w:val="(%1)"/>
      <w:numFmt w:val="lowerRoman"/>
      <w:start w:val="4"/>
    </w:lvl>
    <w:lvl w:ilvl="1">
      <w:lvlJc w:val="left"/>
      <w:lvlText w:val="%2"/>
      <w:numFmt w:val="lowerRoman"/>
      <w:start w:val="1"/>
    </w:lvl>
  </w:abstractNum>
  <w:abstractNum w:abstractNumId="145">
    <w:nsid w:val="4E647FE4"/>
    <w:multiLevelType w:val="hybridMultilevel"/>
    <w:lvl w:ilvl="0">
      <w:lvlJc w:val="left"/>
      <w:lvlText w:val="%1"/>
      <w:numFmt w:val="lowerLetter"/>
      <w:start w:val="1"/>
    </w:lvl>
    <w:lvl w:ilvl="1">
      <w:lvlJc w:val="left"/>
      <w:lvlText w:val="(%2)"/>
      <w:numFmt w:val="lowerLetter"/>
      <w:start w:val="22"/>
    </w:lvl>
  </w:abstractNum>
  <w:abstractNum w:abstractNumId="146">
    <w:nsid w:val="E0BB885"/>
    <w:multiLevelType w:val="hybridMultilevel"/>
    <w:lvl w:ilvl="0">
      <w:lvlJc w:val="left"/>
      <w:lvlText w:val="(%1)"/>
      <w:numFmt w:val="lowerLetter"/>
      <w:start w:val="4"/>
    </w:lvl>
    <w:lvl w:ilvl="1">
      <w:lvlJc w:val="left"/>
      <w:lvlText w:val="(%2)"/>
      <w:numFmt w:val="lowerLetter"/>
      <w:start w:val="9"/>
    </w:lvl>
  </w:abstractNum>
  <w:abstractNum w:abstractNumId="147">
    <w:nsid w:val="565976F1"/>
    <w:multiLevelType w:val="hybridMultilevel"/>
    <w:lvl w:ilvl="0">
      <w:lvlJc w:val="left"/>
      <w:lvlText w:val="%1"/>
      <w:numFmt w:val="lowerLetter"/>
      <w:start w:val="1"/>
    </w:lvl>
    <w:lvl w:ilvl="1">
      <w:lvlJc w:val="left"/>
      <w:lvlText w:val="(%2)"/>
      <w:numFmt w:val="lowerLetter"/>
      <w:start w:val="35"/>
    </w:lvl>
  </w:abstractNum>
  <w:abstractNum w:abstractNumId="148">
    <w:nsid w:val="64212B8C"/>
    <w:multiLevelType w:val="hybridMultilevel"/>
    <w:lvl w:ilvl="0">
      <w:lvlJc w:val="left"/>
      <w:lvlText w:val="(%1)"/>
      <w:numFmt w:val="lowerLetter"/>
      <w:start w:val="6"/>
    </w:lvl>
    <w:lvl w:ilvl="1">
      <w:lvlJc w:val="left"/>
      <w:lvlText w:val="(%2)"/>
      <w:numFmt w:val="lowerLetter"/>
      <w:start w:val="9"/>
    </w:lvl>
  </w:abstractNum>
  <w:abstractNum w:abstractNumId="149">
    <w:nsid w:val="5C17530C"/>
    <w:multiLevelType w:val="hybridMultilevel"/>
    <w:lvl w:ilvl="0">
      <w:lvlJc w:val="left"/>
      <w:lvlText w:val="%1"/>
      <w:numFmt w:val="upperLetter"/>
      <w:start w:val="1"/>
    </w:lvl>
    <w:lvl w:ilvl="1">
      <w:lvlJc w:val="left"/>
      <w:lvlText w:val="(%2)"/>
      <w:numFmt w:val="lowerRoman"/>
      <w:start w:val="2"/>
    </w:lvl>
  </w:abstractNum>
  <w:abstractNum w:abstractNumId="150">
    <w:nsid w:val="19A52566"/>
    <w:multiLevelType w:val="hybridMultilevel"/>
    <w:lvl w:ilvl="0">
      <w:lvlJc w:val="left"/>
      <w:lvlText w:val="(%1)"/>
      <w:numFmt w:val="upperLetter"/>
      <w:start w:val="1"/>
    </w:lvl>
    <w:lvl w:ilvl="1">
      <w:lvlJc w:val="left"/>
      <w:lvlText w:val="%2"/>
      <w:numFmt w:val="lowerRoman"/>
      <w:start w:val="1"/>
    </w:lvl>
  </w:abstractNum>
  <w:abstractNum w:abstractNumId="151">
    <w:nsid w:val="335A1DF1"/>
    <w:multiLevelType w:val="hybridMultilevel"/>
    <w:lvl w:ilvl="0">
      <w:lvlJc w:val="left"/>
      <w:lvlText w:val="(%1)"/>
      <w:numFmt w:val="upperLetter"/>
      <w:start w:val="3"/>
    </w:lvl>
    <w:lvl w:ilvl="1">
      <w:lvlJc w:val="left"/>
      <w:lvlText w:val="(%2)"/>
      <w:numFmt w:val="lowerRoman"/>
      <w:start w:val="5"/>
    </w:lvl>
  </w:abstractNum>
  <w:abstractNum w:abstractNumId="152">
    <w:nsid w:val="28677B7C"/>
    <w:multiLevelType w:val="hybridMultilevel"/>
    <w:lvl w:ilvl="0">
      <w:lvlJc w:val="left"/>
      <w:lvlText w:val="(%1)"/>
      <w:numFmt w:val="lowerLetter"/>
      <w:start w:val="7"/>
    </w:lvl>
    <w:lvl w:ilvl="1">
      <w:lvlJc w:val="left"/>
      <w:lvlText w:val="(%2)"/>
      <w:numFmt w:val="lowerLetter"/>
      <w:start w:val="9"/>
    </w:lvl>
  </w:abstractNum>
  <w:abstractNum w:abstractNumId="153">
    <w:nsid w:val="378D97C0"/>
    <w:multiLevelType w:val="hybridMultilevel"/>
    <w:lvl w:ilvl="0">
      <w:lvlJc w:val="left"/>
      <w:lvlText w:val="(%1)"/>
      <w:numFmt w:val="lowerRoman"/>
      <w:start w:val="2"/>
    </w:lvl>
  </w:abstractNum>
  <w:abstractNum w:abstractNumId="154">
    <w:nsid w:val="1D91467C"/>
    <w:multiLevelType w:val="hybridMultilevel"/>
    <w:lvl w:ilvl="0">
      <w:lvlJc w:val="left"/>
      <w:lvlText w:val="(%1)"/>
      <w:numFmt w:val="lowerRoman"/>
      <w:start w:val="1"/>
    </w:lvl>
  </w:abstractNum>
  <w:abstractNum w:abstractNumId="155">
    <w:nsid w:val="316032BB"/>
    <w:multiLevelType w:val="hybridMultilevel"/>
    <w:lvl w:ilvl="0">
      <w:lvlJc w:val="left"/>
      <w:lvlText w:val="(%1)"/>
      <w:numFmt w:val="lowerLetter"/>
      <w:start w:val="1"/>
    </w:lvl>
  </w:abstractNum>
  <w:abstractNum w:abstractNumId="156">
    <w:nsid w:val="44344C22"/>
    <w:multiLevelType w:val="hybridMultilevel"/>
    <w:lvl w:ilvl="0">
      <w:lvlJc w:val="left"/>
      <w:lvlText w:val="(%1)"/>
      <w:numFmt w:val="lowerRoman"/>
      <w:start w:val="1"/>
    </w:lvl>
  </w:abstractNum>
  <w:abstractNum w:abstractNumId="157">
    <w:nsid w:val="13CDFCFC"/>
    <w:multiLevelType w:val="hybridMultilevel"/>
    <w:lvl w:ilvl="0">
      <w:lvlJc w:val="left"/>
      <w:lvlText w:val="(%1)"/>
      <w:numFmt w:val="lowerRoman"/>
      <w:start w:val="2"/>
    </w:lvl>
  </w:abstractNum>
  <w:abstractNum w:abstractNumId="158">
    <w:nsid w:val="471745E4"/>
    <w:multiLevelType w:val="hybridMultilevel"/>
    <w:lvl w:ilvl="0">
      <w:lvlJc w:val="left"/>
      <w:lvlText w:val="%1"/>
      <w:numFmt w:val="lowerLetter"/>
      <w:start w:val="1"/>
    </w:lvl>
    <w:lvl w:ilvl="1">
      <w:lvlJc w:val="left"/>
      <w:lvlText w:val="(%2)"/>
      <w:numFmt w:val="lowerLetter"/>
      <w:start w:val="1"/>
    </w:lvl>
  </w:abstractNum>
  <w:abstractNum w:abstractNumId="159">
    <w:nsid w:val="1DDBC66"/>
    <w:multiLevelType w:val="hybridMultilevel"/>
    <w:lvl w:ilvl="0">
      <w:lvlJc w:val="left"/>
      <w:lvlText w:val="(%1)"/>
      <w:numFmt w:val="lowerLetter"/>
      <w:start w:val="2"/>
    </w:lvl>
    <w:lvl w:ilvl="1">
      <w:lvlJc w:val="left"/>
      <w:lvlText w:val="(%2)"/>
      <w:numFmt w:val="lowerLetter"/>
      <w:start w:val="4"/>
    </w:lvl>
  </w:abstractNum>
  <w:abstractNum w:abstractNumId="160">
    <w:nsid w:val="30AADFDA"/>
    <w:multiLevelType w:val="hybridMultilevel"/>
    <w:lvl w:ilvl="0">
      <w:lvlJc w:val="left"/>
      <w:lvlText w:val="(%1)"/>
      <w:numFmt w:val="lowerLetter"/>
      <w:start w:val="5"/>
    </w:lvl>
  </w:abstractNum>
  <w:abstractNum w:abstractNumId="161">
    <w:nsid w:val="30EADA61"/>
    <w:multiLevelType w:val="hybridMultilevel"/>
    <w:lvl w:ilvl="0">
      <w:lvlJc w:val="left"/>
      <w:lvlText w:val="%1"/>
      <w:numFmt w:val="lowerLetter"/>
      <w:start w:val="1"/>
    </w:lvl>
    <w:lvl w:ilvl="1">
      <w:lvlJc w:val="left"/>
      <w:lvlText w:val="(%2)"/>
      <w:numFmt w:val="lowerLetter"/>
      <w:start w:val="1"/>
    </w:lvl>
  </w:abstractNum>
  <w:abstractNum w:abstractNumId="162">
    <w:nsid w:val="27179C0B"/>
    <w:multiLevelType w:val="hybridMultilevel"/>
    <w:lvl w:ilvl="0">
      <w:lvlJc w:val="left"/>
      <w:lvlText w:val="(%1)"/>
      <w:numFmt w:val="lowerLetter"/>
      <w:start w:val="9"/>
    </w:lvl>
    <w:lvl w:ilvl="1">
      <w:lvlJc w:val="left"/>
      <w:lvlText w:val="(%2)"/>
      <w:numFmt w:val="lowerLetter"/>
      <w:start w:val="5"/>
    </w:lvl>
  </w:abstractNum>
  <w:abstractNum w:abstractNumId="163">
    <w:nsid w:val="5E636063"/>
    <w:multiLevelType w:val="hybridMultilevel"/>
    <w:lvl w:ilvl="0">
      <w:lvlJc w:val="left"/>
      <w:lvlText w:val="(%1)"/>
      <w:numFmt w:val="upperLetter"/>
      <w:start w:val="2"/>
    </w:lvl>
  </w:abstractNum>
  <w:abstractNum w:abstractNumId="164">
    <w:nsid w:val="215641AF"/>
    <w:multiLevelType w:val="hybridMultilevel"/>
    <w:lvl w:ilvl="0">
      <w:lvlJc w:val="left"/>
      <w:lvlText w:val="%1"/>
      <w:numFmt w:val="decimal"/>
      <w:start w:val="1"/>
    </w:lvl>
    <w:lvl w:ilvl="1">
      <w:lvlJc w:val="left"/>
      <w:lvlText w:val="(%2)"/>
      <w:numFmt w:val="lowerLetter"/>
      <w:start w:val="1"/>
    </w:lvl>
  </w:abstractNum>
  <w:abstractNum w:abstractNumId="165">
    <w:nsid w:val="53280662"/>
    <w:multiLevelType w:val="hybridMultilevel"/>
    <w:lvl w:ilvl="0">
      <w:lvlJc w:val="left"/>
      <w:lvlText w:val="(%1)"/>
      <w:numFmt w:val="decimal"/>
      <w:start w:val="45"/>
    </w:lvl>
    <w:lvl w:ilvl="1">
      <w:lvlJc w:val="left"/>
      <w:lvlText w:val="%2"/>
      <w:numFmt w:val="lowerLetter"/>
      <w:start w:val="1"/>
    </w:lvl>
  </w:abstractNum>
  <w:abstractNum w:abstractNumId="166">
    <w:nsid w:val="46B24DBC"/>
    <w:multiLevelType w:val="hybridMultilevel"/>
    <w:lvl w:ilvl="0">
      <w:lvlJc w:val="left"/>
      <w:lvlText w:val="(%1)"/>
      <w:numFmt w:val="lowerLetter"/>
      <w:start w:val="3"/>
    </w:lvl>
  </w:abstractNum>
  <w:abstractNum w:abstractNumId="167">
    <w:nsid w:val="75B52783"/>
    <w:multiLevelType w:val="hybridMultilevel"/>
    <w:lvl w:ilvl="0">
      <w:lvlJc w:val="left"/>
      <w:lvlText w:val="(%1)"/>
      <w:numFmt w:val="lowerLetter"/>
      <w:start w:val="1"/>
    </w:lvl>
  </w:abstractNum>
  <w:abstractNum w:abstractNumId="168">
    <w:nsid w:val="57CE66B4"/>
    <w:multiLevelType w:val="hybridMultilevel"/>
    <w:lvl w:ilvl="0">
      <w:lvlJc w:val="left"/>
      <w:lvlText w:val="(%1)"/>
      <w:numFmt w:val="decimal"/>
      <w:start w:val="1"/>
    </w:lvl>
    <w:lvl w:ilvl="1">
      <w:lvlJc w:val="left"/>
      <w:lvlText w:val="(%2)"/>
      <w:numFmt w:val="lowerLetter"/>
      <w:start w:val="1"/>
    </w:lvl>
  </w:abstractNum>
  <w:abstractNum w:abstractNumId="169">
    <w:nsid w:val="67A70B69"/>
    <w:multiLevelType w:val="hybridMultilevel"/>
    <w:lvl w:ilvl="0">
      <w:lvlJc w:val="left"/>
      <w:lvlText w:val="(%1)"/>
      <w:numFmt w:val="lowerLetter"/>
      <w:start w:val="1"/>
    </w:lvl>
  </w:abstractNum>
  <w:abstractNum w:abstractNumId="170">
    <w:nsid w:val="5953172F"/>
    <w:multiLevelType w:val="hybridMultilevel"/>
    <w:lvl w:ilvl="0">
      <w:lvlJc w:val="left"/>
      <w:lvlText w:val="%1"/>
      <w:numFmt w:val="lowerLetter"/>
      <w:start w:val="1"/>
    </w:lvl>
    <w:lvl w:ilvl="1">
      <w:lvlJc w:val="left"/>
      <w:lvlText w:val="(%2)"/>
      <w:numFmt w:val="lowerLetter"/>
      <w:start w:val="1"/>
    </w:lvl>
  </w:abstractNum>
  <w:abstractNum w:abstractNumId="171">
    <w:nsid w:val="27EDFE3A"/>
    <w:multiLevelType w:val="hybridMultilevel"/>
    <w:lvl w:ilvl="0">
      <w:lvlJc w:val="left"/>
      <w:lvlText w:val="(%1)"/>
      <w:numFmt w:val="lowerLetter"/>
      <w:start w:val="35"/>
    </w:lvl>
    <w:lvl w:ilvl="1">
      <w:lvlJc w:val="left"/>
      <w:lvlText w:val="%2"/>
      <w:numFmt w:val="lowerLetter"/>
      <w:start w:val="1"/>
    </w:lvl>
  </w:abstractNum>
  <w:abstractNum w:abstractNumId="172">
    <w:nsid w:val="52AC7DFF"/>
    <w:multiLevelType w:val="hybridMultilevel"/>
    <w:lvl w:ilvl="0">
      <w:lvlJc w:val="left"/>
      <w:lvlText w:val="(%1)"/>
      <w:numFmt w:val="lowerLetter"/>
      <w:start w:val="3"/>
    </w:lvl>
  </w:abstractNum>
  <w:abstractNum w:abstractNumId="173">
    <w:nsid w:val="C4C3AF"/>
    <w:multiLevelType w:val="hybridMultilevel"/>
    <w:lvl w:ilvl="0">
      <w:lvlJc w:val="left"/>
      <w:lvlText w:val="(%1)"/>
      <w:numFmt w:val="lowerLetter"/>
      <w:start w:val="1"/>
    </w:lvl>
  </w:abstractNum>
  <w:abstractNum w:abstractNumId="174">
    <w:nsid w:val="44380727"/>
    <w:multiLevelType w:val="hybridMultilevel"/>
    <w:lvl w:ilvl="0">
      <w:lvlJc w:val="left"/>
      <w:lvlText w:val="(%1)"/>
      <w:numFmt w:val="lowerLetter"/>
      <w:start w:val="1"/>
    </w:lvl>
  </w:abstractNum>
  <w:abstractNum w:abstractNumId="175">
    <w:nsid w:val="6C053B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6">
    <w:nsid w:val="4F294393"/>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177">
    <w:nsid w:val="5243BFAC"/>
    <w:multiLevelType w:val="hybridMultilevel"/>
    <w:lvl w:ilvl="0">
      <w:lvlJc w:val="left"/>
      <w:lvlText w:val="%1"/>
      <w:numFmt w:val="lowerLetter"/>
      <w:start w:val="1"/>
    </w:lvl>
    <w:lvl w:ilvl="1">
      <w:lvlJc w:val="left"/>
      <w:lvlText w:val="(%2)"/>
      <w:numFmt w:val="lowerLetter"/>
      <w:start w:val="10"/>
    </w:lvl>
  </w:abstractNum>
  <w:abstractNum w:abstractNumId="178">
    <w:nsid w:val="425EB207"/>
    <w:multiLevelType w:val="hybridMultilevel"/>
    <w:lvl w:ilvl="0">
      <w:lvlJc w:val="left"/>
      <w:lvlText w:val="(%1)"/>
      <w:numFmt w:val="lowerLetter"/>
      <w:start w:val="13"/>
    </w:lvl>
    <w:lvl w:ilvl="1">
      <w:lvlJc w:val="left"/>
      <w:lvlText w:val="(%2)"/>
      <w:numFmt w:val="lowerLetter"/>
      <w:start w:val="15"/>
    </w:lvl>
  </w:abstractNum>
  <w:abstractNum w:abstractNumId="179">
    <w:nsid w:val="334A6F1F"/>
    <w:multiLevelType w:val="hybridMultilevel"/>
    <w:lvl w:ilvl="0">
      <w:lvlJc w:val="left"/>
      <w:lvlText w:val="(%1)"/>
      <w:numFmt w:val="lowerLetter"/>
      <w:start w:val="19"/>
    </w:lvl>
  </w:abstractNum>
  <w:abstractNum w:abstractNumId="180">
    <w:nsid w:val="2E5B12B8"/>
    <w:multiLevelType w:val="hybridMultilevel"/>
    <w:lvl w:ilvl="0">
      <w:lvlJc w:val="left"/>
      <w:lvlText w:val="(%1)"/>
      <w:numFmt w:val="lowerLetter"/>
      <w:start w:val="1"/>
    </w:lvl>
  </w:abstractNum>
  <w:abstractNum w:abstractNumId="181">
    <w:nsid w:val="5C03D76D"/>
    <w:multiLevelType w:val="hybridMultilevel"/>
    <w:lvl w:ilvl="0">
      <w:lvlJc w:val="left"/>
      <w:lvlText w:val="%1"/>
      <w:numFmt w:val="lowerLetter"/>
      <w:start w:val="1"/>
    </w:lvl>
    <w:lvl w:ilvl="1">
      <w:lvlJc w:val="left"/>
      <w:lvlText w:val="(%2)"/>
      <w:numFmt w:val="lowerLetter"/>
      <w:start w:val="3"/>
    </w:lvl>
  </w:abstractNum>
  <w:abstractNum w:abstractNumId="182">
    <w:nsid w:val="66A48D11"/>
    <w:multiLevelType w:val="hybridMultilevel"/>
    <w:lvl w:ilvl="0">
      <w:lvlJc w:val="left"/>
      <w:lvlText w:val="(%1)"/>
      <w:numFmt w:val="lowerLetter"/>
      <w:start w:val="35"/>
    </w:lvl>
    <w:lvl w:ilvl="1">
      <w:lvlJc w:val="left"/>
      <w:lvlText w:val="(%2)"/>
      <w:numFmt w:val="lowerLetter"/>
      <w:start w:val="4"/>
    </w:lvl>
  </w:abstractNum>
  <w:abstractNum w:abstractNumId="183">
    <w:nsid w:val="56C28E34"/>
    <w:multiLevelType w:val="hybridMultilevel"/>
    <w:lvl w:ilvl="0">
      <w:lvlJc w:val="left"/>
      <w:lvlText w:val="%1"/>
      <w:numFmt w:val="lowerLetter"/>
      <w:start w:val="1"/>
    </w:lvl>
    <w:lvl w:ilvl="1">
      <w:lvlJc w:val="left"/>
      <w:lvlText w:val="(%2)"/>
      <w:numFmt w:val="lowerLetter"/>
      <w:start w:val="13"/>
    </w:lvl>
  </w:abstractNum>
  <w:abstractNum w:abstractNumId="184">
    <w:nsid w:val="13916F2D"/>
    <w:multiLevelType w:val="hybridMultilevel"/>
    <w:lvl w:ilvl="0">
      <w:lvlJc w:val="left"/>
      <w:lvlText w:val="(%1)"/>
      <w:numFmt w:val="lowerLetter"/>
      <w:start w:val="9"/>
    </w:lvl>
    <w:lvl w:ilvl="1">
      <w:lvlJc w:val="left"/>
      <w:lvlText w:val="(%2)"/>
      <w:numFmt w:val="lowerLetter"/>
      <w:start w:val="14"/>
    </w:lvl>
  </w:abstractNum>
  <w:abstractNum w:abstractNumId="185">
    <w:nsid w:val="435D38D"/>
    <w:multiLevelType w:val="hybridMultilevel"/>
    <w:lvl w:ilvl="0">
      <w:lvlJc w:val="left"/>
      <w:lvlText w:val="(%1)"/>
      <w:numFmt w:val="lowerLetter"/>
      <w:start w:val="19"/>
    </w:lvl>
  </w:abstractNum>
  <w:abstractNum w:abstractNumId="186">
    <w:nsid w:val="822C0EF"/>
    <w:multiLevelType w:val="hybridMultilevel"/>
    <w:lvl w:ilvl="0">
      <w:lvlJc w:val="left"/>
      <w:lvlText w:val="(%1)"/>
      <w:numFmt w:val="lowerLetter"/>
      <w:start w:val="1"/>
    </w:lvl>
    <w:lvl w:ilvl="1">
      <w:lvlJc w:val="left"/>
      <w:lvlText w:val="(%2)"/>
      <w:numFmt w:val="lowerRoman"/>
      <w:start w:val="2"/>
    </w:lvl>
  </w:abstractNum>
  <w:abstractNum w:abstractNumId="187">
    <w:nsid w:val="57C5BB4F"/>
    <w:multiLevelType w:val="hybridMultilevel"/>
    <w:lvl w:ilvl="0">
      <w:lvlJc w:val="left"/>
      <w:lvlText w:val="%1"/>
      <w:numFmt w:val="lowerLetter"/>
      <w:start w:val="1"/>
    </w:lvl>
    <w:lvl w:ilvl="1">
      <w:lvlJc w:val="left"/>
      <w:lvlText w:val="(%2)"/>
      <w:numFmt w:val="lowerLetter"/>
      <w:start w:val="3"/>
    </w:lvl>
  </w:abstractNum>
  <w:abstractNum w:abstractNumId="188">
    <w:nsid w:val="1803D089"/>
    <w:multiLevelType w:val="hybridMultilevel"/>
    <w:lvl w:ilvl="0">
      <w:lvlJc w:val="left"/>
      <w:lvlText w:val="(%1)"/>
      <w:numFmt w:val="lowerLetter"/>
      <w:start w:val="35"/>
    </w:lvl>
    <w:lvl w:ilvl="1">
      <w:lvlJc w:val="left"/>
      <w:lvlText w:val="(%2)"/>
      <w:numFmt w:val="lowerLetter"/>
      <w:start w:val="16"/>
    </w:lvl>
  </w:abstractNum>
  <w:abstractNum w:abstractNumId="189">
    <w:nsid w:val="4F3A06D4"/>
    <w:multiLevelType w:val="hybridMultilevel"/>
    <w:lvl w:ilvl="0">
      <w:lvlJc w:val="left"/>
      <w:lvlText w:val="%1"/>
      <w:numFmt w:val="lowerLetter"/>
      <w:start w:val="1"/>
    </w:lvl>
    <w:lvl w:ilvl="1">
      <w:lvlJc w:val="left"/>
      <w:lvlText w:val="(%2)"/>
      <w:numFmt w:val="lowerLetter"/>
      <w:start w:val="1"/>
    </w:lvl>
  </w:abstractNum>
  <w:abstractNum w:abstractNumId="190">
    <w:nsid w:val="59A377B6"/>
    <w:multiLevelType w:val="hybridMultilevel"/>
    <w:lvl w:ilvl="0">
      <w:lvlJc w:val="left"/>
      <w:lvlText w:val="(%1)"/>
      <w:numFmt w:val="lowerLetter"/>
      <w:start w:val="35"/>
    </w:lvl>
    <w:lvl w:ilvl="1">
      <w:lvlJc w:val="left"/>
      <w:lvlText w:val="(%2)"/>
      <w:numFmt w:val="lowerLetter"/>
      <w:start w:val="3"/>
    </w:lvl>
  </w:abstractNum>
  <w:abstractNum w:abstractNumId="191">
    <w:nsid w:val="48AEB063"/>
    <w:multiLevelType w:val="hybridMultilevel"/>
    <w:lvl w:ilvl="0">
      <w:lvlJc w:val="left"/>
      <w:lvlText w:val="(%1)"/>
      <w:numFmt w:val="lowerLetter"/>
      <w:start w:val="1"/>
    </w:lvl>
  </w:abstractNum>
  <w:abstractNum w:abstractNumId="192">
    <w:nsid w:val="24E135"/>
    <w:multiLevelType w:val="hybridMultilevel"/>
    <w:lvl w:ilvl="0">
      <w:lvlJc w:val="left"/>
      <w:lvlText w:val="(%1)"/>
      <w:numFmt w:val="lowerLetter"/>
      <w:start w:val="8"/>
    </w:lvl>
  </w:abstractNum>
  <w:abstractNum w:abstractNumId="193">
    <w:nsid w:val="BB13C1"/>
    <w:multiLevelType w:val="hybridMultilevel"/>
    <w:lvl w:ilvl="0">
      <w:lvlJc w:val="left"/>
      <w:lvlText w:val="(%1)"/>
      <w:numFmt w:val="lowerLetter"/>
      <w:start w:val="1"/>
    </w:lvl>
    <w:lvl w:ilvl="1">
      <w:lvlJc w:val="left"/>
      <w:lvlText w:val="(%2)"/>
      <w:numFmt w:val="lowerLetter"/>
      <w:start w:val="9"/>
    </w:lvl>
  </w:abstractNum>
  <w:abstractNum w:abstractNumId="194">
    <w:nsid w:val="271210C7"/>
    <w:multiLevelType w:val="hybridMultilevel"/>
    <w:lvl w:ilvl="0">
      <w:lvlJc w:val="left"/>
      <w:lvlText w:val="(%1)"/>
      <w:numFmt w:val="lowerRoman"/>
      <w:start w:val="2"/>
    </w:lvl>
    <w:lvl w:ilvl="1">
      <w:lvlJc w:val="left"/>
      <w:lvlText w:val="(%2)"/>
      <w:numFmt w:val="lowerRoman"/>
      <w:start w:val="4"/>
    </w:lvl>
  </w:abstractNum>
  <w:abstractNum w:abstractNumId="195">
    <w:nsid w:val="217B22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196">
    <w:nsid w:val="53E31A24"/>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197">
    <w:nsid w:val="6DC45E83"/>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98">
    <w:nsid w:val="17304A67"/>
    <w:multiLevelType w:val="hybridMultilevel"/>
    <w:lvl w:ilvl="0">
      <w:lvlJc w:val="left"/>
      <w:lvlText w:val="(%1)"/>
      <w:numFmt w:val="lowerRoman"/>
      <w:start w:val="1"/>
    </w:lvl>
  </w:abstractNum>
  <w:abstractNum w:abstractNumId="199">
    <w:nsid w:val="2BB180D8"/>
    <w:multiLevelType w:val="hybridMultilevel"/>
    <w:lvl w:ilvl="0">
      <w:lvlJc w:val="left"/>
      <w:lvlText w:val="(%1)"/>
      <w:numFmt w:val="lowerRoman"/>
      <w:start w:val="4"/>
    </w:lvl>
  </w:abstractNum>
  <w:abstractNum w:abstractNumId="200">
    <w:nsid w:val="556B69ED"/>
    <w:multiLevelType w:val="hybridMultilevel"/>
    <w:lvl w:ilvl="0">
      <w:lvlJc w:val="left"/>
      <w:lvlText w:val="(%1)"/>
      <w:numFmt w:val="lowerRoman"/>
      <w:start w:val="7"/>
    </w:lvl>
  </w:abstractNum>
  <w:abstractNum w:abstractNumId="201">
    <w:nsid w:val="70836196"/>
    <w:multiLevelType w:val="hybridMultilevel"/>
    <w:lvl w:ilvl="0">
      <w:lvlJc w:val="left"/>
      <w:lvlText w:val="(%1)"/>
      <w:numFmt w:val="lowerLetter"/>
      <w:start w:val="1"/>
    </w:lvl>
  </w:abstractNum>
  <w:abstractNum w:abstractNumId="202">
    <w:nsid w:val="539F7F12"/>
    <w:multiLevelType w:val="hybridMultilevel"/>
    <w:lvl w:ilvl="0">
      <w:lvlJc w:val="left"/>
      <w:lvlText w:val="(%1)"/>
      <w:numFmt w:val="lowerLetter"/>
      <w:start w:val="1"/>
    </w:lvl>
    <w:lvl w:ilvl="1">
      <w:lvlJc w:val="left"/>
      <w:lvlText w:val="(%2)"/>
      <w:numFmt w:val="lowerLetter"/>
      <w:start w:val="9"/>
    </w:lvl>
  </w:abstractNum>
  <w:abstractNum w:abstractNumId="203">
    <w:nsid w:val="2817E7EC"/>
    <w:multiLevelType w:val="hybridMultilevel"/>
    <w:lvl w:ilvl="0">
      <w:lvlJc w:val="left"/>
      <w:lvlText w:val="(%1)"/>
      <w:numFmt w:val="lowerRoman"/>
      <w:start w:val="2"/>
    </w:lvl>
    <w:lvl w:ilvl="1">
      <w:lvlJc w:val="left"/>
      <w:lvlText w:val="(%2)"/>
      <w:numFmt w:val="lowerRoman"/>
      <w:start w:val="3"/>
    </w:lvl>
  </w:abstractNum>
  <w:abstractNum w:abstractNumId="204">
    <w:nsid w:val="71482545"/>
    <w:multiLevelType w:val="hybridMultilevel"/>
    <w:lvl w:ilvl="0">
      <w:lvlJc w:val="left"/>
      <w:lvlText w:val="(%1)"/>
      <w:numFmt w:val="lowerLetter"/>
      <w:start w:val="1"/>
    </w:lvl>
  </w:abstractNum>
  <w:abstractNum w:abstractNumId="205">
    <w:nsid w:val="17D78639"/>
    <w:multiLevelType w:val="hybridMultilevel"/>
    <w:lvl w:ilvl="0">
      <w:lvlJc w:val="left"/>
      <w:lvlText w:val="%1"/>
      <w:numFmt w:val="upperLetter"/>
      <w:start w:val="1"/>
    </w:lvl>
    <w:lvl w:ilvl="1">
      <w:lvlJc w:val="left"/>
      <w:lvlText w:val="(%2)"/>
      <w:numFmt w:val="lowerLetter"/>
      <w:start w:val="2"/>
    </w:lvl>
  </w:abstractNum>
  <w:abstractNum w:abstractNumId="206">
    <w:nsid w:val="141D2302"/>
    <w:multiLevelType w:val="hybridMultilevel"/>
    <w:lvl w:ilvl="0">
      <w:lvlJc w:val="left"/>
      <w:lvlText w:val="(%1)"/>
      <w:numFmt w:val="upperLetter"/>
      <w:start w:val="4"/>
    </w:lvl>
    <w:lvl w:ilvl="1">
      <w:lvlJc w:val="left"/>
      <w:lvlText w:val="%2"/>
      <w:numFmt w:val="lowerLetter"/>
      <w:start w:val="1"/>
    </w:lvl>
  </w:abstractNum>
  <w:abstractNum w:abstractNumId="207">
    <w:nsid w:val="407168D8"/>
    <w:multiLevelType w:val="hybridMultilevel"/>
    <w:lvl w:ilvl="0">
      <w:lvlJc w:val="left"/>
      <w:lvlText w:val="(%1)"/>
      <w:numFmt w:val="lowerLetter"/>
      <w:start w:val="1"/>
    </w:lvl>
  </w:abstractNum>
  <w:abstractNum w:abstractNumId="208">
    <w:nsid w:val="6A1B45E5"/>
    <w:multiLevelType w:val="hybridMultilevel"/>
    <w:lvl w:ilvl="0">
      <w:lvlJc w:val="left"/>
      <w:lvlText w:val="%1"/>
      <w:numFmt w:val="lowerLetter"/>
      <w:start w:val="1"/>
    </w:lvl>
    <w:lvl w:ilvl="1">
      <w:lvlJc w:val="left"/>
      <w:lvlText w:val="(%2)"/>
      <w:numFmt w:val="lowerLetter"/>
      <w:start w:val="2"/>
    </w:lvl>
  </w:abstractNum>
  <w:abstractNum w:abstractNumId="209">
    <w:nsid w:val="567BD50A"/>
    <w:multiLevelType w:val="hybridMultilevel"/>
    <w:lvl w:ilvl="0">
      <w:lvlJc w:val="left"/>
      <w:lvlText w:val="(%1)"/>
      <w:numFmt w:val="lowerLetter"/>
      <w:start w:val="9"/>
    </w:lvl>
    <w:lvl w:ilvl="1">
      <w:lvlJc w:val="left"/>
      <w:lvlText w:val="%2"/>
      <w:numFmt w:val="lowerLetter"/>
      <w:start w:val="1"/>
    </w:lvl>
  </w:abstractNum>
  <w:abstractNum w:abstractNumId="210">
    <w:nsid w:val="73BBD7F8"/>
    <w:multiLevelType w:val="hybridMultilevel"/>
    <w:lvl w:ilvl="0">
      <w:lvlJc w:val="left"/>
      <w:lvlText w:val="%1"/>
      <w:numFmt w:val="lowerLetter"/>
      <w:start w:val="1"/>
    </w:lvl>
    <w:lvl w:ilvl="1">
      <w:lvlJc w:val="left"/>
      <w:lvlText w:val="(%2)"/>
      <w:numFmt w:val="lowerLetter"/>
      <w:start w:val="1"/>
    </w:lvl>
  </w:abstractNum>
  <w:abstractNum w:abstractNumId="211">
    <w:nsid w:val="1876589D"/>
    <w:multiLevelType w:val="hybridMultilevel"/>
    <w:lvl w:ilvl="0">
      <w:lvlJc w:val="left"/>
      <w:lvlText w:val="(%1)"/>
      <w:numFmt w:val="lowerLetter"/>
      <w:start w:val="61"/>
    </w:lvl>
    <w:lvl w:ilvl="1">
      <w:lvlJc w:val="left"/>
      <w:lvlText w:val="(%2)"/>
      <w:numFmt w:val="lowerLetter"/>
      <w:start w:val="2"/>
    </w:lvl>
  </w:abstractNum>
  <w:abstractNum w:abstractNumId="212">
    <w:nsid w:val="327FAC77"/>
    <w:multiLevelType w:val="hybridMultilevel"/>
    <w:lvl w:ilvl="0">
      <w:lvlJc w:val="left"/>
      <w:lvlText w:val="(%1)"/>
      <w:numFmt w:val="lowerLetter"/>
      <w:start w:val="61"/>
    </w:lvl>
    <w:lvl w:ilvl="1">
      <w:lvlJc w:val="left"/>
      <w:lvlText w:val="%2"/>
      <w:numFmt w:val="lowerLetter"/>
      <w:start w:val="1"/>
    </w:lvl>
  </w:abstractNum>
  <w:abstractNum w:abstractNumId="213">
    <w:nsid w:val="5A606509"/>
    <w:multiLevelType w:val="hybridMultilevel"/>
    <w:lvl w:ilvl="0">
      <w:lvlJc w:val="left"/>
      <w:lvlText w:val="(%1)"/>
      <w:numFmt w:val="lowerLetter"/>
      <w:start w:val="61"/>
    </w:lvl>
    <w:lvl w:ilvl="1">
      <w:lvlJc w:val="left"/>
      <w:lvlText w:val="(%2)"/>
      <w:numFmt w:val="lowerLetter"/>
      <w:start w:val="3"/>
    </w:lvl>
  </w:abstractNum>
  <w:abstractNum w:abstractNumId="214">
    <w:nsid w:val="6F38E6D1"/>
    <w:multiLevelType w:val="hybridMultilevel"/>
    <w:lvl w:ilvl="0">
      <w:lvlJc w:val="left"/>
      <w:lvlText w:val="(%1)"/>
      <w:numFmt w:val="lowerLetter"/>
      <w:start w:val="1"/>
    </w:lvl>
  </w:abstractNum>
  <w:abstractNum w:abstractNumId="215">
    <w:nsid w:val="46111BA5"/>
    <w:multiLevelType w:val="hybridMultilevel"/>
    <w:lvl w:ilvl="0">
      <w:lvlJc w:val="left"/>
      <w:lvlText w:val="(%1)"/>
      <w:numFmt w:val="lowerLetter"/>
      <w:start w:val="1"/>
    </w:lvl>
  </w:abstractNum>
  <w:abstractNum w:abstractNumId="216">
    <w:nsid w:val="5E963896"/>
    <w:multiLevelType w:val="hybridMultilevel"/>
    <w:lvl w:ilvl="0">
      <w:lvlJc w:val="left"/>
      <w:lvlText w:val="(%1)"/>
      <w:numFmt w:val="lowerLetter"/>
      <w:start w:val="1"/>
    </w:lvl>
  </w:abstractNum>
  <w:abstractNum w:abstractNumId="217">
    <w:nsid w:val="775BA7C1"/>
    <w:multiLevelType w:val="hybridMultilevel"/>
    <w:lvl w:ilvl="0">
      <w:lvlJc w:val="left"/>
      <w:lvlText w:val="(%1)"/>
      <w:numFmt w:val="lowerLetter"/>
      <w:start w:val="3"/>
    </w:lvl>
  </w:abstractNum>
  <w:abstractNum w:abstractNumId="218">
    <w:nsid w:val="1DD6D6F4"/>
    <w:multiLevelType w:val="hybridMultilevel"/>
    <w:lvl w:ilvl="0">
      <w:lvlJc w:val="left"/>
      <w:lvlText w:val="(%1)"/>
      <w:numFmt w:val="lowerLetter"/>
      <w:start w:val="9"/>
    </w:lvl>
    <w:lvl w:ilvl="1">
      <w:lvlJc w:val="left"/>
      <w:lvlText w:val="(%2)"/>
      <w:numFmt w:val="lowerLetter"/>
      <w:start w:val="6"/>
    </w:lvl>
  </w:abstractNum>
  <w:abstractNum w:abstractNumId="219">
    <w:nsid w:val="769A091F"/>
    <w:multiLevelType w:val="hybridMultilevel"/>
    <w:lvl w:ilvl="0">
      <w:lvlJc w:val="left"/>
      <w:lvlText w:val="(%1)"/>
      <w:numFmt w:val="lowerLetter"/>
      <w:start w:val="1"/>
    </w:lvl>
  </w:abstractNum>
  <w:abstractNum w:abstractNumId="220">
    <w:nsid w:val="4695AE95"/>
    <w:multiLevelType w:val="hybridMultilevel"/>
    <w:lvl w:ilvl="0">
      <w:lvlJc w:val="left"/>
      <w:lvlText w:val="(%1)"/>
      <w:numFmt w:val="lowerLetter"/>
      <w:start w:val="3"/>
    </w:lvl>
  </w:abstractNum>
  <w:abstractNum w:abstractNumId="221">
    <w:nsid w:val="777A4EAA"/>
    <w:multiLevelType w:val="hybridMultilevel"/>
    <w:lvl w:ilvl="0">
      <w:lvlJc w:val="left"/>
      <w:lvlText w:val="(%1)"/>
      <w:numFmt w:val="lowerLetter"/>
      <w:start w:val="1"/>
    </w:lvl>
  </w:abstractNum>
  <w:abstractNum w:abstractNumId="222">
    <w:nsid w:val="3F48B982"/>
    <w:multiLevelType w:val="hybridMultilevel"/>
    <w:lvl w:ilvl="0">
      <w:lvlJc w:val="left"/>
      <w:lvlText w:val="(%1)"/>
      <w:numFmt w:val="lowerLetter"/>
      <w:start w:val="2"/>
    </w:lvl>
  </w:abstractNum>
  <w:abstractNum w:abstractNumId="223">
    <w:nsid w:val="46BA8FCA"/>
    <w:multiLevelType w:val="hybridMultilevel"/>
    <w:lvl w:ilvl="0">
      <w:lvlJc w:val="left"/>
      <w:lvlText w:val="(%1)"/>
      <w:numFmt w:val="lowerLetter"/>
      <w:start w:val="1"/>
    </w:lvl>
    <w:lvl w:ilvl="1">
      <w:lvlJc w:val="left"/>
      <w:lvlText w:val="(%2)"/>
      <w:numFmt w:val="lowerLetter"/>
      <w:start w:val="2"/>
    </w:lvl>
  </w:abstractNum>
  <w:abstractNum w:abstractNumId="224">
    <w:nsid w:val="7835626C"/>
    <w:multiLevelType w:val="hybridMultilevel"/>
    <w:lvl w:ilvl="0">
      <w:lvlJc w:val="left"/>
      <w:lvlText w:val="(%1)"/>
      <w:numFmt w:val="lowerLetter"/>
      <w:start w:val="1"/>
    </w:lvl>
  </w:abstractNum>
  <w:abstractNum w:abstractNumId="225">
    <w:nsid w:val="665ACA49"/>
    <w:multiLevelType w:val="hybridMultilevel"/>
    <w:lvl w:ilvl="0">
      <w:lvlJc w:val="left"/>
      <w:lvlText w:val="(%1)"/>
      <w:numFmt w:val="lowerLetter"/>
      <w:start w:val="1"/>
    </w:lvl>
  </w:abstractNum>
  <w:abstractNum w:abstractNumId="226">
    <w:nsid w:val="6835B2AE"/>
    <w:multiLevelType w:val="hybridMultilevel"/>
    <w:lvl w:ilvl="0">
      <w:lvlJc w:val="left"/>
      <w:lvlText w:val="(%1)"/>
      <w:numFmt w:val="lowerLetter"/>
      <w:start w:val="2"/>
    </w:lvl>
  </w:abstractNum>
  <w:abstractNum w:abstractNumId="227">
    <w:nsid w:val="4C187C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28">
    <w:nsid w:val="541F28CD"/>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229">
    <w:nsid w:val="7F65FD16"/>
    <w:multiLevelType w:val="hybridMultilevel"/>
    <w:lvl w:ilvl="0">
      <w:lvlJc w:val="left"/>
      <w:lvlText w:val="(%1)"/>
      <w:numFmt w:val="lowerLetter"/>
      <w:start w:val="1"/>
    </w:lvl>
  </w:abstractNum>
  <w:abstractNum w:abstractNumId="230">
    <w:nsid w:val="77C9FD68"/>
    <w:multiLevelType w:val="hybridMultilevel"/>
    <w:lvl w:ilvl="0">
      <w:lvlJc w:val="left"/>
      <w:lvlText w:val="(%1)"/>
      <w:numFmt w:val="lowerLetter"/>
      <w:start w:val="1"/>
    </w:lvl>
  </w:abstractNum>
  <w:abstractNum w:abstractNumId="231">
    <w:nsid w:val="298A92BA"/>
    <w:multiLevelType w:val="hybridMultilevel"/>
    <w:lvl w:ilvl="0">
      <w:lvlJc w:val="left"/>
      <w:lvlText w:val="(%1)"/>
      <w:numFmt w:val="lowerLetter"/>
      <w:start w:val="1"/>
    </w:lvl>
  </w:abstractNum>
  <w:abstractNum w:abstractNumId="232">
    <w:nsid w:val="6FE95EAC"/>
    <w:multiLevelType w:val="hybridMultilevel"/>
    <w:lvl w:ilvl="0">
      <w:lvlJc w:val="left"/>
      <w:lvlText w:val="(%1)"/>
      <w:numFmt w:val="lowerLetter"/>
      <w:start w:val="2"/>
    </w:lvl>
  </w:abstractNum>
  <w:abstractNum w:abstractNumId="233">
    <w:nsid w:val="4B697C7A"/>
    <w:multiLevelType w:val="hybridMultilevel"/>
    <w:lvl w:ilvl="0">
      <w:lvlJc w:val="left"/>
      <w:lvlText w:val="(%1)"/>
      <w:numFmt w:val="lowerLetter"/>
      <w:start w:val="1"/>
    </w:lvl>
    <w:lvl w:ilvl="1">
      <w:lvlJc w:val="left"/>
      <w:lvlText w:val="(%2)"/>
      <w:numFmt w:val="lowerLetter"/>
      <w:start w:val="9"/>
    </w:lvl>
  </w:abstractNum>
  <w:abstractNum w:abstractNumId="234">
    <w:nsid w:val="51A27AA6"/>
    <w:multiLevelType w:val="hybridMultilevel"/>
    <w:lvl w:ilvl="0">
      <w:lvlJc w:val="left"/>
      <w:lvlText w:val="(%1)"/>
      <w:numFmt w:val="lowerRoman"/>
      <w:start w:val="2"/>
    </w:lvl>
    <w:lvl w:ilvl="1">
      <w:lvlJc w:val="left"/>
      <w:lvlText w:val="(%2)"/>
      <w:numFmt w:val="lowerRoman"/>
      <w:start w:val="3"/>
    </w:lvl>
  </w:abstractNum>
  <w:abstractNum w:abstractNumId="235">
    <w:nsid w:val="613183F2"/>
    <w:multiLevelType w:val="hybridMultilevel"/>
    <w:lvl w:ilvl="0">
      <w:lvlJc w:val="left"/>
      <w:lvlText w:val="(%1)"/>
      <w:numFmt w:val="lowerLetter"/>
      <w:start w:val="2"/>
    </w:lvl>
  </w:abstractNum>
  <w:abstractNum w:abstractNumId="236">
    <w:nsid w:val="634102B4"/>
    <w:multiLevelType w:val="hybridMultilevel"/>
    <w:lvl w:ilvl="0">
      <w:lvlJc w:val="left"/>
      <w:lvlText w:val="(%1)"/>
      <w:numFmt w:val="lowerLetter"/>
      <w:start w:val="1"/>
    </w:lvl>
  </w:abstractNum>
  <w:abstractNum w:abstractNumId="237">
    <w:nsid w:val="65BF9DA8"/>
    <w:multiLevelType w:val="hybridMultilevel"/>
    <w:lvl w:ilvl="0">
      <w:lvlJc w:val="left"/>
      <w:lvlText w:val="(%1)"/>
      <w:numFmt w:val="lowerLetter"/>
      <w:start w:val="2"/>
    </w:lvl>
  </w:abstractNum>
  <w:abstractNum w:abstractNumId="238">
    <w:nsid w:val="21A2ECCA"/>
    <w:multiLevelType w:val="hybridMultilevel"/>
    <w:lvl w:ilvl="0">
      <w:lvlJc w:val="left"/>
      <w:lvlText w:val="(%1)"/>
      <w:numFmt w:val="lowerLetter"/>
      <w:start w:val="35"/>
    </w:lvl>
    <w:lvl w:ilvl="1">
      <w:lvlJc w:val="left"/>
      <w:lvlText w:val="(%2)"/>
      <w:numFmt w:val="lowerLetter"/>
      <w:start w:val="3"/>
    </w:lvl>
  </w:abstractNum>
  <w:abstractNum w:abstractNumId="239">
    <w:nsid w:val="4D5C4899"/>
    <w:multiLevelType w:val="hybridMultilevel"/>
    <w:lvl w:ilvl="0">
      <w:lvlJc w:val="left"/>
      <w:lvlText w:val="(%1)"/>
      <w:numFmt w:val="lowerRoman"/>
      <w:start w:val="1"/>
    </w:lvl>
  </w:abstractNum>
  <w:abstractNum w:abstractNumId="240">
    <w:nsid w:val="3C3B72B2"/>
    <w:multiLevelType w:val="hybridMultilevel"/>
    <w:lvl w:ilvl="0">
      <w:lvlJc w:val="left"/>
      <w:lvlText w:val="%1"/>
      <w:numFmt w:val="lowerLetter"/>
      <w:start w:val="1"/>
    </w:lvl>
    <w:lvl w:ilvl="1">
      <w:lvlJc w:val="left"/>
      <w:lvlText w:val="(%2)"/>
      <w:numFmt w:val="lowerLetter"/>
      <w:start w:val="35"/>
    </w:lvl>
  </w:abstractNum>
  <w:abstractNum w:abstractNumId="241">
    <w:nsid w:val="155EC4C2"/>
    <w:multiLevelType w:val="hybridMultilevel"/>
    <w:lvl w:ilvl="0">
      <w:lvlJc w:val="left"/>
      <w:lvlText w:val="(%1)"/>
      <w:numFmt w:val="lowerLetter"/>
      <w:start w:val="6"/>
    </w:lvl>
    <w:lvl w:ilvl="1">
      <w:lvlJc w:val="left"/>
      <w:lvlText w:val="%2"/>
      <w:numFmt w:val="lowerLetter"/>
      <w:start w:val="1"/>
    </w:lvl>
  </w:abstractNum>
  <w:abstractNum w:abstractNumId="242">
    <w:nsid w:val="65D2A137"/>
    <w:multiLevelType w:val="hybridMultilevel"/>
    <w:lvl w:ilvl="0">
      <w:lvlJc w:val="left"/>
      <w:lvlText w:val="(%1)"/>
      <w:numFmt w:val="lowerLetter"/>
      <w:start w:val="1"/>
    </w:lvl>
  </w:abstractNum>
  <w:abstractNum w:abstractNumId="243">
    <w:nsid w:val="6EBB1F2A"/>
    <w:multiLevelType w:val="hybridMultilevel"/>
    <w:lvl w:ilvl="0">
      <w:lvlJc w:val="left"/>
      <w:lvlText w:val="(%1)"/>
      <w:numFmt w:val="lowerLetter"/>
      <w:start w:val="5"/>
    </w:lvl>
  </w:abstractNum>
  <w:abstractNum w:abstractNumId="244">
    <w:nsid w:val="6FBF29CB"/>
    <w:multiLevelType w:val="hybridMultilevel"/>
    <w:lvl w:ilvl="0">
      <w:lvlJc w:val="left"/>
      <w:lvlText w:val="(%1)"/>
      <w:numFmt w:val="lowerLetter"/>
      <w:start w:val="1"/>
    </w:lvl>
  </w:abstractNum>
  <w:abstractNum w:abstractNumId="245">
    <w:nsid w:val="550B8808"/>
    <w:multiLevelType w:val="hybridMultilevel"/>
    <w:lvl w:ilvl="0">
      <w:lvlJc w:val="left"/>
      <w:lvlText w:val="(%1)"/>
      <w:numFmt w:val="lowerLetter"/>
      <w:start w:val="2"/>
    </w:lvl>
  </w:abstractNum>
  <w:abstractNum w:abstractNumId="246">
    <w:nsid w:val="34CC3ACF"/>
    <w:multiLevelType w:val="hybridMultilevel"/>
    <w:lvl w:ilvl="0">
      <w:lvlJc w:val="left"/>
      <w:lvlText w:val="(%1)"/>
      <w:numFmt w:val="lowerLetter"/>
      <w:start w:val="5"/>
    </w:lvl>
  </w:abstractNum>
  <w:abstractNum w:abstractNumId="247">
    <w:nsid w:val="4E556261"/>
    <w:multiLevelType w:val="hybridMultilevel"/>
    <w:lvl w:ilvl="0">
      <w:lvlJc w:val="left"/>
      <w:lvlText w:val="(%1)"/>
      <w:numFmt w:val="lowerLetter"/>
      <w:start w:val="1"/>
    </w:lvl>
  </w:abstractNum>
  <w:abstractNum w:abstractNumId="248">
    <w:nsid w:val="4C672FC9"/>
    <w:multiLevelType w:val="hybridMultilevel"/>
    <w:lvl w:ilvl="0">
      <w:lvlJc w:val="left"/>
      <w:lvlText w:val="(%1)"/>
      <w:numFmt w:val="lowerLetter"/>
      <w:start w:val="3"/>
    </w:lvl>
  </w:abstractNum>
  <w:abstractNum w:abstractNumId="249">
    <w:nsid w:val="52A311C3"/>
    <w:multiLevelType w:val="hybridMultilevel"/>
    <w:lvl w:ilvl="0">
      <w:lvlJc w:val="left"/>
      <w:lvlText w:val="(%1)"/>
      <w:numFmt w:val="lowerLetter"/>
      <w:start w:val="1"/>
    </w:lvl>
  </w:abstractNum>
  <w:abstractNum w:abstractNumId="250">
    <w:nsid w:val="44EF6B80"/>
    <w:multiLevelType w:val="hybridMultilevel"/>
    <w:lvl w:ilvl="0">
      <w:lvlJc w:val="left"/>
      <w:lvlText w:val="(%1)"/>
      <w:numFmt w:val="lowerLetter"/>
      <w:start w:val="2"/>
    </w:lvl>
  </w:abstractNum>
  <w:abstractNum w:abstractNumId="251">
    <w:nsid w:val="12FCDE5E"/>
    <w:multiLevelType w:val="hybridMultilevel"/>
    <w:lvl w:ilvl="0">
      <w:lvlJc w:val="left"/>
      <w:lvlText w:val="(%1)"/>
      <w:numFmt w:val="lowerRoman"/>
      <w:start w:val="1"/>
    </w:lvl>
  </w:abstractNum>
  <w:abstractNum w:abstractNumId="252">
    <w:nsid w:val="4A1D606E"/>
    <w:multiLevelType w:val="hybridMultilevel"/>
    <w:lvl w:ilvl="0">
      <w:lvlJc w:val="left"/>
      <w:lvlText w:val="%1"/>
      <w:numFmt w:val="lowerRoman"/>
      <w:start w:val="1"/>
    </w:lvl>
    <w:lvl w:ilvl="1">
      <w:lvlJc w:val="left"/>
      <w:lvlText w:val="(%2)"/>
      <w:numFmt w:val="upperLetter"/>
      <w:start w:val="1"/>
    </w:lvl>
  </w:abstractNum>
  <w:abstractNum w:abstractNumId="253">
    <w:nsid w:val="4382503"/>
    <w:multiLevelType w:val="hybridMultilevel"/>
    <w:lvl w:ilvl="0">
      <w:lvlJc w:val="left"/>
      <w:lvlText w:val="(%1)"/>
      <w:numFmt w:val="lowerRoman"/>
      <w:start w:val="2"/>
    </w:lvl>
    <w:lvl w:ilvl="1">
      <w:lvlJc w:val="left"/>
      <w:lvlText w:val="(%2)"/>
      <w:numFmt w:val="upperLetter"/>
      <w:start w:val="1"/>
    </w:lvl>
  </w:abstractNum>
  <w:abstractNum w:abstractNumId="254">
    <w:nsid w:val="59B76E28"/>
    <w:multiLevelType w:val="hybridMultilevel"/>
    <w:lvl w:ilvl="0">
      <w:lvlJc w:val="left"/>
      <w:lvlText w:val="%1"/>
      <w:numFmt w:val="lowerRoman"/>
      <w:start w:val="1"/>
    </w:lvl>
    <w:lvl w:ilvl="1">
      <w:lvlJc w:val="left"/>
      <w:lvlText w:val="(%2)"/>
      <w:numFmt w:val="upperLetter"/>
      <w:start w:val="2"/>
    </w:lvl>
  </w:abstractNum>
  <w:abstractNum w:abstractNumId="255">
    <w:nsid w:val="4252C2DA"/>
    <w:multiLevelType w:val="hybridMultilevel"/>
    <w:lvl w:ilvl="0">
      <w:lvlJc w:val="left"/>
      <w:lvlText w:val="(%1)"/>
      <w:numFmt w:val="lowerRoman"/>
      <w:start w:val="4"/>
    </w:lvl>
    <w:lvl w:ilvl="1">
      <w:lvlJc w:val="left"/>
      <w:lvlText w:val="%2"/>
      <w:numFmt w:val="upperLetter"/>
      <w:start w:val="1"/>
    </w:lvl>
  </w:abstractNum>
  <w:abstractNum w:abstractNumId="256">
    <w:nsid w:val="6A92EF4C"/>
    <w:multiLevelType w:val="hybridMultilevel"/>
    <w:lvl w:ilvl="0">
      <w:lvlJc w:val="left"/>
      <w:lvlText w:val="(%1)"/>
      <w:numFmt w:val="lowerRoman"/>
      <w:start w:val="7"/>
    </w:lvl>
  </w:abstractNum>
  <w:abstractNum w:abstractNumId="257">
    <w:nsid w:val="41ED20D7"/>
    <w:multiLevelType w:val="hybridMultilevel"/>
    <w:lvl w:ilvl="0">
      <w:lvlJc w:val="left"/>
      <w:lvlText w:val="(%1)"/>
      <w:numFmt w:val="lowerLetter"/>
      <w:start w:val="3"/>
    </w:lvl>
  </w:abstractNum>
  <w:abstractNum w:abstractNumId="258">
    <w:nsid w:val="E6B3F6A"/>
    <w:multiLevelType w:val="hybridMultilevel"/>
    <w:lvl w:ilvl="0">
      <w:lvlJc w:val="left"/>
      <w:lvlText w:val="%1."/>
      <w:numFmt w:val="decimal"/>
      <w:start w:val="1"/>
    </w:lvl>
  </w:abstractNum>
  <w:abstractNum w:abstractNumId="259">
    <w:nsid w:val="3EB21819"/>
    <w:multiLevelType w:val="hybridMultilevel"/>
    <w:lvl w:ilvl="0">
      <w:lvlJc w:val="left"/>
      <w:lvlText w:val="(%1)"/>
      <w:numFmt w:val="lowerLetter"/>
      <w:start w:val="5"/>
    </w:lvl>
  </w:abstractNum>
  <w:abstractNum w:abstractNumId="260">
    <w:nsid w:val="41531DED"/>
    <w:multiLevelType w:val="hybridMultilevel"/>
    <w:lvl w:ilvl="0">
      <w:lvlJc w:val="left"/>
      <w:lvlText w:val="(%1)"/>
      <w:numFmt w:val="lowerLetter"/>
      <w:start w:val="1"/>
    </w:lvl>
  </w:abstractNum>
  <w:abstractNum w:abstractNumId="261">
    <w:nsid w:val="6353CD2"/>
    <w:multiLevelType w:val="hybridMultilevel"/>
    <w:lvl w:ilvl="0">
      <w:lvlJc w:val="left"/>
      <w:lvlText w:val="%1"/>
      <w:numFmt w:val="lowerLetter"/>
      <w:start w:val="1"/>
    </w:lvl>
    <w:lvl w:ilvl="1">
      <w:lvlJc w:val="left"/>
      <w:lvlText w:val="(%2)"/>
      <w:numFmt w:val="lowerLetter"/>
      <w:start w:val="1"/>
    </w:lvl>
  </w:abstractNum>
  <w:abstractNum w:abstractNumId="262">
    <w:nsid w:val="683CAAD3"/>
    <w:multiLevelType w:val="hybridMultilevel"/>
    <w:lvl w:ilvl="0">
      <w:lvlJc w:val="left"/>
      <w:lvlText w:val="(%1)"/>
      <w:numFmt w:val="lowerLetter"/>
      <w:start w:val="2"/>
    </w:lvl>
    <w:lvl w:ilvl="1">
      <w:lvlJc w:val="left"/>
      <w:lvlText w:val="%2"/>
      <w:numFmt w:val="lowerLetter"/>
      <w:start w:val="1"/>
    </w:lvl>
  </w:abstractNum>
  <w:abstractNum w:abstractNumId="263">
    <w:nsid w:val="313C7C99"/>
    <w:multiLevelType w:val="hybridMultilevel"/>
    <w:lvl w:ilvl="0">
      <w:lvlJc w:val="left"/>
      <w:lvlText w:val="(%1)"/>
      <w:numFmt w:val="lowerLetter"/>
      <w:start w:val="1"/>
    </w:lvl>
  </w:abstractNum>
  <w:abstractNum w:abstractNumId="264">
    <w:nsid w:val="519EB94C"/>
    <w:multiLevelType w:val="hybridMultilevel"/>
    <w:lvl w:ilvl="0">
      <w:lvlJc w:val="left"/>
      <w:lvlText w:val="1"/>
      <w:numFmt w:val="bullet"/>
      <w:start w:val="1"/>
    </w:lvl>
  </w:abstractNum>
  <w:abstractNum w:abstractNumId="265">
    <w:nsid w:val="39DF2579"/>
    <w:multiLevelType w:val="hybridMultilevel"/>
    <w:lvl w:ilvl="0">
      <w:lvlJc w:val="left"/>
      <w:lvlText w:val="2"/>
      <w:numFmt w:val="bullet"/>
      <w:start w:val="1"/>
    </w:lvl>
  </w:abstractNum>
  <w:abstractNum w:abstractNumId="266">
    <w:nsid w:val="126E008B"/>
    <w:multiLevelType w:val="hybridMultilevel"/>
    <w:lvl w:ilvl="0">
      <w:lvlJc w:val="left"/>
      <w:lvlText w:val="(%1)"/>
      <w:numFmt w:val="lowerLetter"/>
      <w:start w:val="1"/>
    </w:lvl>
  </w:abstractNum>
  <w:abstractNum w:abstractNumId="267">
    <w:nsid w:val="34DFBC00"/>
    <w:multiLevelType w:val="hybridMultilevel"/>
    <w:lvl w:ilvl="0">
      <w:lvlJc w:val="left"/>
      <w:lvlText w:val="(%1)"/>
      <w:numFmt w:val="lowerLetter"/>
      <w:start w:val="1"/>
    </w:lvl>
  </w:abstractNum>
  <w:abstractNum w:abstractNumId="268">
    <w:nsid w:val="1F9EC322"/>
    <w:multiLevelType w:val="hybridMultilevel"/>
    <w:lvl w:ilvl="0">
      <w:lvlJc w:val="left"/>
      <w:lvlText w:val="%1"/>
      <w:numFmt w:val="lowerLetter"/>
      <w:start w:val="1"/>
    </w:lvl>
    <w:lvl w:ilvl="1">
      <w:lvlJc w:val="left"/>
      <w:lvlText w:val="(%2)"/>
      <w:numFmt w:val="lowerLetter"/>
      <w:start w:val="3"/>
    </w:lvl>
  </w:abstractNum>
  <w:abstractNum w:abstractNumId="269">
    <w:nsid w:val="3410ED56"/>
    <w:multiLevelType w:val="hybridMultilevel"/>
    <w:lvl w:ilvl="0">
      <w:lvlJc w:val="left"/>
      <w:lvlText w:val="(%1)"/>
      <w:numFmt w:val="lowerLetter"/>
      <w:start w:val="35"/>
    </w:lvl>
    <w:lvl w:ilvl="1">
      <w:lvlJc w:val="left"/>
      <w:lvlText w:val="(%2)"/>
      <w:numFmt w:val="lowerLetter"/>
      <w:start w:val="6"/>
    </w:lvl>
  </w:abstractNum>
  <w:abstractNum w:abstractNumId="270">
    <w:nsid w:val="23C049A"/>
    <w:multiLevelType w:val="hybridMultilevel"/>
    <w:lvl w:ilvl="0">
      <w:lvlJc w:val="left"/>
      <w:lvlText w:val="(%1)"/>
      <w:numFmt w:val="upperLetter"/>
      <w:start w:val="1"/>
    </w:lvl>
  </w:abstractNum>
  <w:abstractNum w:abstractNumId="271">
    <w:nsid w:val="5BDA35D4"/>
    <w:multiLevelType w:val="hybridMultilevel"/>
    <w:lvl w:ilvl="0">
      <w:lvlJc w:val="left"/>
      <w:lvlText w:val="7"/>
      <w:numFmt w:val="bullet"/>
      <w:start w:val="1"/>
    </w:lvl>
  </w:abstractNum>
  <w:abstractNum w:abstractNumId="272">
    <w:nsid w:val="496FB218"/>
    <w:multiLevelType w:val="hybridMultilevel"/>
    <w:lvl w:ilvl="0">
      <w:lvlJc w:val="left"/>
      <w:lvlText w:val="%1"/>
      <w:numFmt w:val="lowerLetter"/>
      <w:start w:val="1"/>
    </w:lvl>
    <w:lvl w:ilvl="1">
      <w:lvlJc w:val="left"/>
      <w:lvlText w:val="(%2)"/>
      <w:numFmt w:val="lowerLetter"/>
      <w:start w:val="1"/>
    </w:lvl>
  </w:abstractNum>
  <w:abstractNum w:abstractNumId="273">
    <w:nsid w:val="680EA5D1"/>
    <w:multiLevelType w:val="hybridMultilevel"/>
    <w:lvl w:ilvl="0">
      <w:lvlJc w:val="left"/>
      <w:lvlText w:val="(%1)"/>
      <w:numFmt w:val="lowerLetter"/>
      <w:start w:val="5"/>
    </w:lvl>
    <w:lvl w:ilvl="1">
      <w:lvlJc w:val="left"/>
      <w:lvlText w:val="%2"/>
      <w:numFmt w:val="lowerLetter"/>
      <w:start w:val="1"/>
    </w:lvl>
  </w:abstractNum>
  <w:abstractNum w:abstractNumId="274">
    <w:nsid w:val="4A9554FE"/>
    <w:multiLevelType w:val="hybridMultilevel"/>
    <w:lvl w:ilvl="0">
      <w:lvlJc w:val="left"/>
      <w:lvlText w:val="8"/>
      <w:numFmt w:val="bullet"/>
      <w:start w:val="1"/>
    </w:lvl>
  </w:abstractNum>
  <w:abstractNum w:abstractNumId="275">
    <w:nsid w:val="392EDBE4"/>
    <w:multiLevelType w:val="hybridMultilevel"/>
    <w:lvl w:ilvl="0">
      <w:lvlJc w:val="left"/>
      <w:lvlText w:val="(%1)"/>
      <w:numFmt w:val="lowerLetter"/>
      <w:start w:val="6"/>
    </w:lvl>
  </w:abstractNum>
  <w:abstractNum w:abstractNumId="276">
    <w:nsid w:val="3D1A2DD9"/>
    <w:multiLevelType w:val="hybridMultilevel"/>
    <w:lvl w:ilvl="0">
      <w:lvlJc w:val="left"/>
      <w:lvlText w:val="(%1)"/>
      <w:numFmt w:val="lowerRoman"/>
      <w:start w:val="1"/>
    </w:lvl>
  </w:abstractNum>
  <w:abstractNum w:abstractNumId="277">
    <w:nsid w:val="7F618FCD"/>
    <w:multiLevelType w:val="hybridMultilevel"/>
    <w:lvl w:ilvl="0">
      <w:lvlJc w:val="left"/>
      <w:lvlText w:val="%1."/>
      <w:numFmt w:val="decimal"/>
      <w:start w:val="1"/>
    </w:lvl>
  </w:abstractNum>
  <w:abstractNum w:abstractNumId="278">
    <w:nsid w:val="7843E45"/>
    <w:multiLevelType w:val="hybridMultilevel"/>
    <w:lvl w:ilvl="0">
      <w:lvlJc w:val="left"/>
      <w:lvlText w:val="9"/>
      <w:numFmt w:val="bullet"/>
      <w:start w:val="1"/>
    </w:lvl>
    <w:lvl w:ilvl="1">
      <w:lvlJc w:val="left"/>
      <w:lvlText w:val="%2."/>
      <w:numFmt w:val="decimal"/>
      <w:start w:val="2"/>
    </w:lvl>
  </w:abstractNum>
  <w:abstractNum w:abstractNumId="279">
    <w:nsid w:val="9815DA3"/>
    <w:multiLevelType w:val="hybridMultilevel"/>
    <w:lvl w:ilvl="0">
      <w:lvlJc w:val="left"/>
      <w:lvlText w:val="%1."/>
      <w:numFmt w:val="decimal"/>
      <w:start w:val="6"/>
    </w:lvl>
  </w:abstractNum>
  <w:abstractNum w:abstractNumId="280">
    <w:nsid w:val="5204A191"/>
    <w:multiLevelType w:val="hybridMultilevel"/>
    <w:lvl w:ilvl="0">
      <w:lvlJc w:val="left"/>
      <w:lvlText w:val="%1."/>
      <w:numFmt w:val="decimal"/>
      <w:start w:val="1"/>
    </w:lvl>
  </w:abstractNum>
  <w:abstractNum w:abstractNumId="281">
    <w:nsid w:val="4C73A9C6"/>
    <w:multiLevelType w:val="hybridMultilevel"/>
    <w:lvl w:ilvl="0">
      <w:lvlJc w:val="left"/>
      <w:lvlText w:val="(%1)"/>
      <w:numFmt w:val="lowerRoman"/>
      <w:start w:val="2"/>
    </w:lvl>
  </w:abstractNum>
  <w:abstractNum w:abstractNumId="282">
    <w:nsid w:val="1C7E3C01"/>
    <w:multiLevelType w:val="hybridMultilevel"/>
    <w:lvl w:ilvl="0">
      <w:lvlJc w:val="left"/>
      <w:lvlText w:val="%1."/>
      <w:numFmt w:val="decimal"/>
      <w:start w:val="2"/>
    </w:lvl>
  </w:abstractNum>
  <w:abstractNum w:abstractNumId="283">
    <w:nsid w:val="1C2201FF"/>
    <w:multiLevelType w:val="hybridMultilevel"/>
    <w:lvl w:ilvl="0">
      <w:lvlJc w:val="left"/>
      <w:lvlText w:val="(%1)"/>
      <w:numFmt w:val="lowerLetter"/>
      <w:start w:val="4"/>
    </w:lvl>
  </w:abstractNum>
  <w:abstractNum w:abstractNumId="284">
    <w:nsid w:val="50ABCEC9"/>
    <w:multiLevelType w:val="hybridMultilevel"/>
    <w:lvl w:ilvl="0">
      <w:lvlJc w:val="left"/>
      <w:lvlText w:val="(%1)"/>
      <w:numFmt w:val="lowerLetter"/>
      <w:start w:val="4"/>
    </w:lvl>
  </w:abstractNum>
  <w:abstractNum w:abstractNumId="285">
    <w:nsid w:val="7635AA2A"/>
    <w:multiLevelType w:val="hybridMultilevel"/>
    <w:lvl w:ilvl="0">
      <w:lvlJc w:val="left"/>
      <w:lvlText w:val="(%1)"/>
      <w:numFmt w:val="lowerLetter"/>
      <w:start w:val="4"/>
    </w:lvl>
  </w:abstractNum>
  <w:abstractNum w:abstractNumId="286">
    <w:nsid w:val="5E74C4D9"/>
    <w:multiLevelType w:val="hybridMultilevel"/>
    <w:lvl w:ilvl="0">
      <w:lvlJc w:val="left"/>
      <w:lvlText w:val="%1."/>
      <w:numFmt w:val="decimal"/>
      <w:start w:val="1"/>
    </w:lvl>
  </w:abstractNum>
  <w:abstractNum w:abstractNumId="287">
    <w:nsid w:val="3B3EBE1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288">
    <w:nsid w:val="3822CB01"/>
    <w:multiLevelType w:val="hybridMultilevel"/>
    <w:lvl w:ilvl="0">
      <w:lvlJc w:val="left"/>
      <w:lvlText w:val="%1."/>
      <w:numFmt w:val="decimal"/>
      <w:start w:val="1"/>
    </w:lvl>
    <w:lvl w:ilvl="1">
      <w:lvlJc w:val="left"/>
      <w:lvlText w:val="(%2)"/>
      <w:numFmt w:val="lowerLetter"/>
      <w:start w:val="1"/>
    </w:lvl>
  </w:abstractNum>
  <w:abstractNum w:abstractNumId="289">
    <w:nsid w:val="6CE00443"/>
    <w:multiLevelType w:val="hybridMultilevel"/>
    <w:lvl w:ilvl="0">
      <w:lvlJc w:val="left"/>
      <w:lvlText w:val="%1."/>
      <w:numFmt w:val="decimal"/>
      <w:start w:val="1"/>
    </w:lvl>
    <w:lvl w:ilvl="1">
      <w:lvlJc w:val="left"/>
      <w:lvlText w:val="(%2)"/>
      <w:numFmt w:val="lowerLetter"/>
      <w:start w:val="1"/>
    </w:lvl>
  </w:abstractNum>
  <w:abstractNum w:abstractNumId="290">
    <w:nsid w:val="79F0D62F"/>
    <w:multiLevelType w:val="hybridMultilevel"/>
    <w:lvl w:ilvl="0">
      <w:lvlJc w:val="left"/>
      <w:lvlText w:val="%1."/>
      <w:numFmt w:val="decimal"/>
      <w:start w:val="1"/>
    </w:lvl>
  </w:abstractNum>
  <w:abstractNum w:abstractNumId="291">
    <w:nsid w:val="7975E8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2019-12-07T10:30:10Z</dcterms:created>
  <dcterms:modified xsi:type="dcterms:W3CDTF">2019-12-07T10:30:10Z</dcterms:modified>
</cp:coreProperties>
</file>